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120" w:after="288"/>
        <w:ind w:firstLine="709"/>
        <w:rPr>
          <w:rFonts w:ascii="Arial" w:hAnsi="Arial" w:cs="Arial"/>
          <w:b/>
          <w:b/>
          <w:bCs/>
          <w:color w:val="000000" w:themeColor="text1"/>
          <w:sz w:val="20"/>
          <w:szCs w:val="20"/>
        </w:rPr>
      </w:pPr>
      <w:r>
        <w:rPr>
          <w:rFonts w:cs="Arial" w:ascii="Arial" w:hAnsi="Arial"/>
          <w:b/>
          <w:bCs/>
          <w:color w:val="000000" w:themeColor="text1"/>
          <w:sz w:val="20"/>
          <w:szCs w:val="20"/>
        </w:rPr>
        <w:drawing>
          <wp:anchor behindDoc="0" distT="0" distB="0" distL="114300" distR="114300" simplePos="0" locked="0" layoutInCell="0" allowOverlap="1" relativeHeight="2">
            <wp:simplePos x="0" y="0"/>
            <wp:positionH relativeFrom="margin">
              <wp:posOffset>2816860</wp:posOffset>
            </wp:positionH>
            <wp:positionV relativeFrom="paragraph">
              <wp:posOffset>67945</wp:posOffset>
            </wp:positionV>
            <wp:extent cx="737870" cy="806450"/>
            <wp:effectExtent l="0" t="0" r="0" b="0"/>
            <wp:wrapSquare wrapText="bothSides"/>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p>
    <w:p>
      <w:pPr>
        <w:pStyle w:val="Normal"/>
        <w:spacing w:lineRule="auto" w:line="276" w:before="120" w:after="288"/>
        <w:ind w:firstLine="709"/>
        <w:jc w:val="center"/>
        <w:rPr>
          <w:rFonts w:ascii="Arial" w:hAnsi="Arial" w:cs="Arial"/>
          <w:b/>
          <w:b/>
          <w:i/>
          <w:i/>
          <w:color w:val="FF0000"/>
          <w:sz w:val="20"/>
          <w:szCs w:val="20"/>
        </w:rPr>
      </w:pPr>
      <w:r>
        <w:rPr>
          <w:rFonts w:cs="Arial" w:ascii="Arial" w:hAnsi="Arial"/>
          <w:b/>
          <w:i/>
          <w:color w:val="FF0000"/>
          <w:sz w:val="20"/>
          <w:szCs w:val="20"/>
        </w:rPr>
      </w:r>
    </w:p>
    <w:p>
      <w:pPr>
        <w:pStyle w:val="Normal"/>
        <w:spacing w:lineRule="auto" w:line="312" w:before="120" w:after="288"/>
        <w:ind w:left="708" w:firstLine="708"/>
        <w:jc w:val="center"/>
        <w:rPr>
          <w:rFonts w:ascii="Times New Roman" w:hAnsi="Times New Roman" w:cs="Times New Roman"/>
          <w:b/>
          <w:b/>
          <w:i/>
          <w:i/>
          <w:color w:val="FF0000"/>
          <w:sz w:val="4"/>
          <w:szCs w:val="4"/>
        </w:rPr>
      </w:pPr>
      <w:r>
        <w:rPr>
          <w:rFonts w:cs="Times New Roman" w:ascii="Times New Roman" w:hAnsi="Times New Roman"/>
          <w:b/>
          <w:i/>
          <w:color w:val="FF0000"/>
          <w:sz w:val="4"/>
          <w:szCs w:val="4"/>
        </w:rPr>
      </w:r>
    </w:p>
    <w:p>
      <w:pPr>
        <w:pStyle w:val="Normal"/>
        <w:keepNext w:val="true"/>
        <w:jc w:val="center"/>
        <w:rPr>
          <w:rFonts w:ascii="Times New Roman" w:hAnsi="Times New Roman" w:eastAsia="DejaVu Sans" w:cs="Times New Roman"/>
          <w:b/>
          <w:b/>
          <w:lang w:eastAsia="zh-CN"/>
        </w:rPr>
      </w:pPr>
      <w:r>
        <w:rPr>
          <w:rFonts w:eastAsia="DejaVu Sans" w:cs="Times New Roman" w:ascii="Times New Roman" w:hAnsi="Times New Roman"/>
          <w:b/>
          <w:lang w:eastAsia="zh-CN"/>
        </w:rPr>
        <w:t>MINISTÉRIO DA DEFESA</w:t>
      </w:r>
    </w:p>
    <w:p>
      <w:pPr>
        <w:pStyle w:val="Normal"/>
        <w:jc w:val="center"/>
        <w:rPr>
          <w:rFonts w:ascii="Times New Roman" w:hAnsi="Times New Roman" w:cs="Times New Roman"/>
          <w:b/>
          <w:b/>
          <w:lang w:eastAsia="zh-CN"/>
        </w:rPr>
      </w:pPr>
      <w:r>
        <w:rPr>
          <w:rFonts w:cs="Times New Roman" w:ascii="Times New Roman" w:hAnsi="Times New Roman"/>
          <w:b/>
          <w:lang w:eastAsia="zh-CN"/>
        </w:rPr>
        <w:t>EXÉRCITO BRASILEIRO</w:t>
      </w:r>
    </w:p>
    <w:p>
      <w:pPr>
        <w:pStyle w:val="Normal"/>
        <w:jc w:val="center"/>
        <w:rPr>
          <w:rFonts w:ascii="Times New Roman" w:hAnsi="Times New Roman" w:cs="Times New Roman"/>
          <w:b/>
          <w:b/>
          <w:lang w:eastAsia="zh-CN"/>
        </w:rPr>
      </w:pPr>
      <w:r>
        <w:rPr>
          <w:rFonts w:cs="Times New Roman" w:ascii="Times New Roman" w:hAnsi="Times New Roman"/>
          <w:b/>
          <w:lang w:eastAsia="zh-CN"/>
        </w:rPr>
        <w:t>DEPÓSITO CENTRAL DE MUNIÇÃO</w:t>
      </w:r>
    </w:p>
    <w:p>
      <w:pPr>
        <w:pStyle w:val="Normal"/>
        <w:jc w:val="center"/>
        <w:rPr>
          <w:rFonts w:ascii="Times New Roman" w:hAnsi="Times New Roman" w:cs="Times New Roman"/>
          <w:lang w:eastAsia="zh-CN"/>
        </w:rPr>
      </w:pPr>
      <w:r>
        <w:rPr>
          <w:rFonts w:cs="Times New Roman" w:ascii="Times New Roman" w:hAnsi="Times New Roman"/>
          <w:b/>
          <w:lang w:eastAsia="zh-CN"/>
        </w:rPr>
        <w:t xml:space="preserve"> </w:t>
      </w:r>
      <w:r>
        <w:rPr>
          <w:rFonts w:cs="Times New Roman" w:ascii="Times New Roman" w:hAnsi="Times New Roman"/>
          <w:b/>
          <w:bCs/>
          <w:lang w:eastAsia="zh-CN"/>
        </w:rPr>
        <w:t>(D C M B / 1918)</w:t>
      </w:r>
    </w:p>
    <w:p>
      <w:pPr>
        <w:pStyle w:val="Normal"/>
        <w:spacing w:lineRule="auto" w:line="312" w:before="120" w:after="288"/>
        <w:jc w:val="center"/>
        <w:rPr>
          <w:rFonts w:ascii="Times New Roman" w:hAnsi="Times New Roman" w:cs="Times New Roman"/>
          <w:color w:val="000000"/>
        </w:rPr>
      </w:pPr>
      <w:r>
        <w:rPr>
          <w:rFonts w:cs="Times New Roman" w:ascii="Times New Roman" w:hAnsi="Times New Roman"/>
          <w:color w:val="000000"/>
        </w:rPr>
        <w:t>(Processo Administrativo n° 64449.000</w:t>
      </w:r>
      <w:r>
        <w:rPr>
          <w:rFonts w:cs="Times New Roman" w:ascii="Times New Roman" w:hAnsi="Times New Roman"/>
          <w:color w:val="000000"/>
        </w:rPr>
        <w:t>268</w:t>
      </w:r>
      <w:r>
        <w:rPr>
          <w:rFonts w:cs="Times New Roman" w:ascii="Times New Roman" w:hAnsi="Times New Roman"/>
          <w:color w:val="000000"/>
        </w:rPr>
        <w:t>/2025-</w:t>
      </w:r>
      <w:r>
        <w:rPr>
          <w:rFonts w:cs="Times New Roman" w:ascii="Times New Roman" w:hAnsi="Times New Roman"/>
          <w:color w:val="000000"/>
        </w:rPr>
        <w:t>21</w:t>
      </w:r>
      <w:r>
        <w:rPr>
          <w:rFonts w:cs="Times New Roman" w:ascii="Times New Roman" w:hAnsi="Times New Roman"/>
          <w:color w:val="000000"/>
        </w:rPr>
        <w:t>)</w:t>
      </w:r>
    </w:p>
    <w:p>
      <w:pPr>
        <w:pStyle w:val="Normal"/>
        <w:spacing w:lineRule="auto" w:line="312" w:before="120" w:after="288"/>
        <w:ind w:firstLine="709"/>
        <w:jc w:val="center"/>
        <w:rPr>
          <w:rFonts w:ascii="Arial" w:hAnsi="Arial" w:cs="Arial"/>
          <w:b/>
          <w:b/>
          <w:bCs/>
          <w:color w:val="000000"/>
          <w:sz w:val="24"/>
          <w:szCs w:val="24"/>
        </w:rPr>
      </w:pPr>
      <w:r>
        <w:rPr>
          <w:rFonts w:cs="Arial" w:ascii="Arial" w:hAnsi="Arial"/>
          <w:b/>
          <w:bCs/>
          <w:color w:val="000000"/>
          <w:sz w:val="24"/>
          <w:szCs w:val="24"/>
        </w:rPr>
        <w:t>ANEXO III</w:t>
      </w:r>
    </w:p>
    <w:p>
      <w:pPr>
        <w:pStyle w:val="Prembulo"/>
        <w:spacing w:lineRule="auto" w:line="312" w:before="480" w:after="288"/>
        <w:ind w:left="4253" w:right="-170" w:hanging="0"/>
        <w:rPr>
          <w:bCs w:val="false"/>
        </w:rPr>
      </w:pPr>
      <w:r>
        <w:rPr>
          <w:bCs w:val="false"/>
        </w:rPr>
        <w:t xml:space="preserve">CONTRATO ADMINISTRATIVO Nº ......../...., QUE FAZEM ENTRE SI A UNIÃO, POR INTERMÉDIO DO (A) ......................................................... E ............................................................. </w:t>
      </w:r>
    </w:p>
    <w:p>
      <w:pPr>
        <w:pStyle w:val="Nivel01"/>
        <w:numPr>
          <w:ilvl w:val="0"/>
          <w:numId w:val="0"/>
        </w:numPr>
        <w:ind w:left="360" w:hanging="0"/>
        <w:rPr>
          <w:rFonts w:ascii="Times New Roman" w:hAnsi="Times New Roman"/>
          <w:b w:val="false"/>
          <w:b w:val="false"/>
          <w:bCs w:val="false"/>
          <w:sz w:val="24"/>
          <w:szCs w:val="24"/>
        </w:rPr>
      </w:pPr>
      <w:r>
        <w:rPr>
          <w:rFonts w:ascii="Times New Roman" w:hAnsi="Times New Roman"/>
          <w:b w:val="false"/>
          <w:bCs w:val="false"/>
          <w:sz w:val="24"/>
          <w:szCs w:val="24"/>
        </w:rPr>
        <w:t>O Depósito Central de Munição, órgão do EXÉRCITO BRASILEIRO, com sede na Estrada RJ-127, km 6</w:t>
      </w:r>
      <w:r>
        <w:rPr>
          <w:rFonts w:ascii="Times New Roman" w:hAnsi="Times New Roman"/>
          <w:b w:val="false"/>
          <w:bCs w:val="false"/>
          <w:spacing w:val="-47"/>
          <w:sz w:val="24"/>
          <w:szCs w:val="24"/>
        </w:rPr>
        <w:t xml:space="preserve"> </w:t>
      </w:r>
      <w:r>
        <w:rPr>
          <w:rFonts w:ascii="Times New Roman" w:hAnsi="Times New Roman"/>
          <w:b w:val="false"/>
          <w:bCs w:val="false"/>
          <w:sz w:val="24"/>
          <w:szCs w:val="24"/>
        </w:rPr>
        <w:t>s/n</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Cabral,</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Paracambi</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RJ,</w:t>
      </w:r>
      <w:r>
        <w:rPr>
          <w:rFonts w:ascii="Times New Roman" w:hAnsi="Times New Roman"/>
          <w:b w:val="false"/>
          <w:bCs w:val="false"/>
          <w:spacing w:val="14"/>
          <w:sz w:val="24"/>
          <w:szCs w:val="24"/>
        </w:rPr>
        <w:t xml:space="preserve"> </w:t>
      </w:r>
      <w:r>
        <w:rPr>
          <w:rFonts w:ascii="Times New Roman" w:hAnsi="Times New Roman"/>
          <w:b w:val="false"/>
          <w:bCs w:val="false"/>
          <w:sz w:val="24"/>
          <w:szCs w:val="24"/>
        </w:rPr>
        <w:t>26600-000,</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inscrito</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no</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CNPJ/MF</w:t>
      </w:r>
      <w:r>
        <w:rPr>
          <w:rFonts w:ascii="Times New Roman" w:hAnsi="Times New Roman"/>
          <w:b w:val="false"/>
          <w:bCs w:val="false"/>
          <w:spacing w:val="11"/>
          <w:sz w:val="24"/>
          <w:szCs w:val="24"/>
        </w:rPr>
        <w:t xml:space="preserve"> </w:t>
      </w:r>
      <w:r>
        <w:rPr>
          <w:rFonts w:ascii="Times New Roman" w:hAnsi="Times New Roman"/>
          <w:b w:val="false"/>
          <w:bCs w:val="false"/>
          <w:sz w:val="24"/>
          <w:szCs w:val="24"/>
        </w:rPr>
        <w:t>sob</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o</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nº</w:t>
      </w:r>
      <w:r>
        <w:rPr>
          <w:rFonts w:eastAsia="Times New Roman" w:ascii="Times New Roman" w:hAnsi="Times New Roman"/>
          <w:b w:val="false"/>
          <w:bCs w:val="false"/>
          <w:color w:val="000000"/>
          <w:sz w:val="24"/>
          <w:szCs w:val="24"/>
        </w:rPr>
        <w:t xml:space="preserve"> 09.586.924/0001-96</w:t>
      </w:r>
      <w:r>
        <w:rPr>
          <w:rFonts w:ascii="Times New Roman" w:hAnsi="Times New Roman"/>
          <w:b w:val="false"/>
          <w:bCs w:val="false"/>
          <w:sz w:val="24"/>
          <w:szCs w:val="24"/>
        </w:rPr>
        <w:t>,</w:t>
      </w:r>
      <w:r>
        <w:rPr>
          <w:rFonts w:ascii="Times New Roman" w:hAnsi="Times New Roman"/>
          <w:b w:val="false"/>
          <w:bCs w:val="false"/>
          <w:spacing w:val="11"/>
          <w:sz w:val="24"/>
          <w:szCs w:val="24"/>
        </w:rPr>
        <w:t xml:space="preserve"> </w:t>
      </w:r>
      <w:r>
        <w:rPr>
          <w:rFonts w:ascii="Times New Roman" w:hAnsi="Times New Roman"/>
          <w:b w:val="false"/>
          <w:bCs w:val="false"/>
          <w:sz w:val="24"/>
          <w:szCs w:val="24"/>
        </w:rPr>
        <w:t>neste</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ato</w:t>
      </w:r>
      <w:r>
        <w:rPr>
          <w:rFonts w:ascii="Times New Roman" w:hAnsi="Times New Roman"/>
          <w:b w:val="false"/>
          <w:bCs w:val="false"/>
          <w:spacing w:val="11"/>
          <w:sz w:val="24"/>
          <w:szCs w:val="24"/>
        </w:rPr>
        <w:t xml:space="preserve"> </w:t>
      </w:r>
      <w:r>
        <w:rPr>
          <w:rFonts w:ascii="Times New Roman" w:hAnsi="Times New Roman"/>
          <w:b w:val="false"/>
          <w:bCs w:val="false"/>
          <w:sz w:val="24"/>
          <w:szCs w:val="24"/>
        </w:rPr>
        <w:t>representado</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neste</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 xml:space="preserve">ato </w:t>
      </w:r>
      <w:r>
        <w:rPr>
          <w:rFonts w:ascii="Times New Roman" w:hAnsi="Times New Roman"/>
          <w:b w:val="false"/>
          <w:bCs w:val="false"/>
          <w:spacing w:val="-48"/>
          <w:sz w:val="24"/>
          <w:szCs w:val="24"/>
        </w:rPr>
        <w:t xml:space="preserve"> </w:t>
      </w:r>
      <w:r>
        <w:rPr>
          <w:rFonts w:ascii="Times New Roman" w:hAnsi="Times New Roman"/>
          <w:b w:val="false"/>
          <w:bCs w:val="false"/>
          <w:sz w:val="24"/>
          <w:szCs w:val="24"/>
        </w:rPr>
        <w:t>pelo Ten</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Cel</w:t>
      </w:r>
      <w:r>
        <w:rPr>
          <w:rFonts w:ascii="Times New Roman" w:hAnsi="Times New Roman"/>
          <w:b w:val="false"/>
          <w:bCs w:val="false"/>
          <w:sz w:val="24"/>
          <w:szCs w:val="24"/>
          <w:u w:val="single"/>
        </w:rPr>
        <w:t xml:space="preserve"> </w:t>
      </w:r>
      <w:r>
        <w:rPr>
          <w:rFonts w:ascii="Times New Roman" w:hAnsi="Times New Roman"/>
          <w:b w:val="false"/>
          <w:bCs w:val="false"/>
          <w:sz w:val="24"/>
          <w:szCs w:val="24"/>
          <w:u w:val="none"/>
        </w:rPr>
        <w:t>ROBERTO DA SILVA DOS SANTOS</w:t>
      </w:r>
      <w:r>
        <w:rPr>
          <w:rFonts w:ascii="Times New Roman" w:hAnsi="Times New Roman"/>
          <w:b w:val="false"/>
          <w:bCs w:val="false"/>
          <w:sz w:val="24"/>
          <w:szCs w:val="24"/>
        </w:rPr>
        <w:t>,</w:t>
      </w:r>
      <w:r>
        <w:rPr>
          <w:rFonts w:ascii="Times New Roman" w:hAnsi="Times New Roman"/>
          <w:b w:val="false"/>
          <w:bCs w:val="false"/>
          <w:spacing w:val="-1"/>
          <w:sz w:val="24"/>
          <w:szCs w:val="24"/>
        </w:rPr>
        <w:t xml:space="preserve"> </w:t>
      </w:r>
      <w:r>
        <w:rPr>
          <w:rFonts w:ascii="Times New Roman" w:hAnsi="Times New Roman"/>
          <w:b w:val="false"/>
          <w:bCs w:val="false"/>
          <w:sz w:val="24"/>
          <w:szCs w:val="24"/>
        </w:rPr>
        <w:t>nomeado pela</w:t>
      </w:r>
      <w:r>
        <w:rPr>
          <w:rFonts w:ascii="Times New Roman" w:hAnsi="Times New Roman"/>
          <w:b w:val="false"/>
          <w:bCs w:val="false"/>
          <w:spacing w:val="6"/>
          <w:sz w:val="24"/>
          <w:szCs w:val="24"/>
        </w:rPr>
        <w:t xml:space="preserve"> </w:t>
      </w:r>
      <w:r>
        <w:rPr>
          <w:rFonts w:ascii="Times New Roman" w:hAnsi="Times New Roman"/>
          <w:b w:val="false"/>
          <w:bCs w:val="false"/>
          <w:sz w:val="24"/>
          <w:szCs w:val="24"/>
        </w:rPr>
        <w:t>Portaria</w:t>
      </w:r>
      <w:r>
        <w:rPr>
          <w:rFonts w:ascii="Times New Roman" w:hAnsi="Times New Roman"/>
          <w:b w:val="false"/>
          <w:bCs w:val="false"/>
          <w:spacing w:val="1"/>
          <w:sz w:val="24"/>
          <w:szCs w:val="24"/>
        </w:rPr>
        <w:t xml:space="preserve"> </w:t>
      </w:r>
      <w:r>
        <w:rPr>
          <w:rFonts w:ascii="Times New Roman" w:hAnsi="Times New Roman"/>
          <w:b w:val="false"/>
          <w:bCs w:val="false"/>
          <w:sz w:val="24"/>
          <w:szCs w:val="24"/>
        </w:rPr>
        <w:t>nº 730</w:t>
      </w:r>
      <w:r>
        <w:rPr>
          <w:rFonts w:eastAsia="Times New Roman" w:ascii="Times New Roman" w:hAnsi="Times New Roman"/>
          <w:b w:val="false"/>
          <w:bCs w:val="false"/>
          <w:sz w:val="24"/>
          <w:szCs w:val="24"/>
        </w:rPr>
        <w:t>, de 23 de maio de 2024</w:t>
      </w:r>
      <w:r>
        <w:rPr>
          <w:rFonts w:ascii="Times New Roman" w:hAnsi="Times New Roman"/>
          <w:b w:val="false"/>
          <w:bCs w:val="false"/>
          <w:sz w:val="24"/>
          <w:szCs w:val="24"/>
        </w:rPr>
        <w:t>,</w:t>
      </w:r>
      <w:r>
        <w:rPr>
          <w:rFonts w:ascii="Times New Roman" w:hAnsi="Times New Roman"/>
          <w:b w:val="false"/>
          <w:bCs w:val="false"/>
          <w:spacing w:val="-2"/>
          <w:sz w:val="24"/>
          <w:szCs w:val="24"/>
        </w:rPr>
        <w:t xml:space="preserve"> </w:t>
      </w:r>
      <w:r>
        <w:rPr>
          <w:rFonts w:ascii="Times New Roman" w:hAnsi="Times New Roman"/>
          <w:b w:val="false"/>
          <w:bCs w:val="false"/>
          <w:sz w:val="24"/>
          <w:szCs w:val="24"/>
        </w:rPr>
        <w:t>publicada</w:t>
      </w:r>
      <w:r>
        <w:rPr>
          <w:rFonts w:ascii="Times New Roman" w:hAnsi="Times New Roman"/>
          <w:b w:val="false"/>
          <w:bCs w:val="false"/>
          <w:spacing w:val="4"/>
          <w:sz w:val="24"/>
          <w:szCs w:val="24"/>
        </w:rPr>
        <w:t xml:space="preserve"> </w:t>
      </w:r>
      <w:r>
        <w:rPr>
          <w:rFonts w:ascii="Times New Roman" w:hAnsi="Times New Roman"/>
          <w:b w:val="false"/>
          <w:bCs w:val="false"/>
          <w:sz w:val="24"/>
          <w:szCs w:val="24"/>
        </w:rPr>
        <w:t>no</w:t>
      </w:r>
      <w:r>
        <w:rPr>
          <w:rFonts w:ascii="Times New Roman" w:hAnsi="Times New Roman"/>
          <w:b w:val="false"/>
          <w:bCs w:val="false"/>
          <w:spacing w:val="3"/>
          <w:sz w:val="24"/>
          <w:szCs w:val="24"/>
        </w:rPr>
        <w:t xml:space="preserve"> </w:t>
      </w:r>
      <w:r>
        <w:rPr>
          <w:rFonts w:ascii="Times New Roman" w:hAnsi="Times New Roman"/>
          <w:b w:val="false"/>
          <w:bCs w:val="false"/>
          <w:sz w:val="24"/>
          <w:szCs w:val="24"/>
        </w:rPr>
        <w:t>Diário</w:t>
      </w:r>
      <w:r>
        <w:rPr>
          <w:rFonts w:ascii="Times New Roman" w:hAnsi="Times New Roman"/>
          <w:b w:val="false"/>
          <w:bCs w:val="false"/>
          <w:spacing w:val="4"/>
          <w:sz w:val="24"/>
          <w:szCs w:val="24"/>
        </w:rPr>
        <w:t xml:space="preserve"> </w:t>
      </w:r>
      <w:r>
        <w:rPr>
          <w:rFonts w:ascii="Times New Roman" w:hAnsi="Times New Roman"/>
          <w:b w:val="false"/>
          <w:bCs w:val="false"/>
          <w:sz w:val="24"/>
          <w:szCs w:val="24"/>
        </w:rPr>
        <w:t>Oficial</w:t>
      </w:r>
      <w:r>
        <w:rPr>
          <w:rFonts w:ascii="Times New Roman" w:hAnsi="Times New Roman"/>
          <w:b w:val="false"/>
          <w:bCs w:val="false"/>
          <w:spacing w:val="2"/>
          <w:sz w:val="24"/>
          <w:szCs w:val="24"/>
        </w:rPr>
        <w:t xml:space="preserve"> </w:t>
      </w:r>
      <w:r>
        <w:rPr>
          <w:rFonts w:ascii="Times New Roman" w:hAnsi="Times New Roman"/>
          <w:b w:val="false"/>
          <w:bCs w:val="false"/>
          <w:sz w:val="24"/>
          <w:szCs w:val="24"/>
        </w:rPr>
        <w:t>da</w:t>
      </w:r>
      <w:r>
        <w:rPr>
          <w:rFonts w:ascii="Times New Roman" w:hAnsi="Times New Roman"/>
          <w:b w:val="false"/>
          <w:bCs w:val="false"/>
          <w:spacing w:val="3"/>
          <w:sz w:val="24"/>
          <w:szCs w:val="24"/>
        </w:rPr>
        <w:t xml:space="preserve"> </w:t>
      </w:r>
      <w:r>
        <w:rPr>
          <w:rFonts w:ascii="Times New Roman" w:hAnsi="Times New Roman"/>
          <w:b w:val="false"/>
          <w:bCs w:val="false"/>
          <w:sz w:val="24"/>
          <w:szCs w:val="24"/>
        </w:rPr>
        <w:t>União</w:t>
      </w:r>
      <w:r>
        <w:rPr>
          <w:rFonts w:ascii="Times New Roman" w:hAnsi="Times New Roman"/>
          <w:b w:val="false"/>
          <w:bCs w:val="false"/>
          <w:spacing w:val="-46"/>
          <w:sz w:val="24"/>
          <w:szCs w:val="24"/>
        </w:rPr>
        <w:t xml:space="preserve"> </w:t>
      </w:r>
      <w:r>
        <w:rPr>
          <w:rFonts w:ascii="Times New Roman" w:hAnsi="Times New Roman"/>
          <w:b w:val="false"/>
          <w:bCs w:val="false"/>
          <w:sz w:val="24"/>
          <w:szCs w:val="24"/>
        </w:rPr>
        <w:t xml:space="preserve"> nº</w:t>
      </w:r>
      <w:r>
        <w:rPr>
          <w:rFonts w:eastAsia="Times New Roman" w:ascii="Times New Roman" w:hAnsi="Times New Roman"/>
          <w:b w:val="false"/>
          <w:bCs w:val="false"/>
          <w:color w:val="000000"/>
          <w:sz w:val="24"/>
          <w:szCs w:val="24"/>
        </w:rPr>
        <w:t xml:space="preserve"> 99</w:t>
      </w:r>
      <w:r>
        <w:rPr>
          <w:rFonts w:ascii="Times New Roman" w:hAnsi="Times New Roman"/>
          <w:b w:val="false"/>
          <w:bCs w:val="false"/>
          <w:sz w:val="24"/>
          <w:szCs w:val="24"/>
        </w:rPr>
        <w:t xml:space="preserve"> de 23</w:t>
      </w:r>
      <w:r>
        <w:rPr>
          <w:rFonts w:eastAsia="Times New Roman" w:ascii="Times New Roman" w:hAnsi="Times New Roman"/>
          <w:b w:val="false"/>
          <w:bCs w:val="false"/>
          <w:color w:val="000000"/>
          <w:sz w:val="24"/>
          <w:szCs w:val="24"/>
        </w:rPr>
        <w:t xml:space="preserve"> de Maio de 2024 </w:t>
      </w:r>
      <w:r>
        <w:rPr>
          <w:rFonts w:ascii="Times New Roman" w:hAnsi="Times New Roman"/>
          <w:b w:val="false"/>
          <w:bCs w:val="false"/>
          <w:sz w:val="24"/>
          <w:szCs w:val="24"/>
        </w:rPr>
        <w:t>,</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inscrito</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no</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CPF</w:t>
      </w:r>
      <w:r>
        <w:rPr>
          <w:rFonts w:ascii="Times New Roman" w:hAnsi="Times New Roman"/>
          <w:b w:val="false"/>
          <w:bCs w:val="false"/>
          <w:spacing w:val="11"/>
          <w:sz w:val="24"/>
          <w:szCs w:val="24"/>
        </w:rPr>
        <w:t xml:space="preserve"> </w:t>
      </w:r>
      <w:r>
        <w:rPr>
          <w:rFonts w:ascii="Times New Roman" w:hAnsi="Times New Roman"/>
          <w:b w:val="false"/>
          <w:bCs w:val="false"/>
          <w:sz w:val="24"/>
          <w:szCs w:val="24"/>
        </w:rPr>
        <w:t>sob</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o</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nº ___________,</w:t>
      </w:r>
      <w:r>
        <w:rPr>
          <w:rFonts w:ascii="Times New Roman" w:hAnsi="Times New Roman"/>
          <w:b w:val="false"/>
          <w:bCs w:val="false"/>
          <w:spacing w:val="8"/>
          <w:sz w:val="24"/>
          <w:szCs w:val="24"/>
        </w:rPr>
        <w:t xml:space="preserve"> </w:t>
      </w:r>
      <w:r>
        <w:rPr>
          <w:rFonts w:ascii="Times New Roman" w:hAnsi="Times New Roman"/>
          <w:b w:val="false"/>
          <w:bCs w:val="false"/>
          <w:sz w:val="24"/>
          <w:szCs w:val="24"/>
        </w:rPr>
        <w:t>portador</w:t>
      </w:r>
      <w:r>
        <w:rPr>
          <w:rFonts w:ascii="Times New Roman" w:hAnsi="Times New Roman"/>
          <w:b w:val="false"/>
          <w:bCs w:val="false"/>
          <w:spacing w:val="11"/>
          <w:sz w:val="24"/>
          <w:szCs w:val="24"/>
        </w:rPr>
        <w:t xml:space="preserve"> </w:t>
      </w:r>
      <w:r>
        <w:rPr>
          <w:rFonts w:ascii="Times New Roman" w:hAnsi="Times New Roman"/>
          <w:b w:val="false"/>
          <w:bCs w:val="false"/>
          <w:sz w:val="24"/>
          <w:szCs w:val="24"/>
        </w:rPr>
        <w:t>da</w:t>
      </w:r>
      <w:r>
        <w:rPr>
          <w:rFonts w:ascii="Times New Roman" w:hAnsi="Times New Roman"/>
          <w:b w:val="false"/>
          <w:bCs w:val="false"/>
          <w:spacing w:val="11"/>
          <w:sz w:val="24"/>
          <w:szCs w:val="24"/>
        </w:rPr>
        <w:t xml:space="preserve"> </w:t>
      </w:r>
      <w:r>
        <w:rPr>
          <w:rFonts w:ascii="Times New Roman" w:hAnsi="Times New Roman"/>
          <w:b w:val="false"/>
          <w:bCs w:val="false"/>
          <w:sz w:val="24"/>
          <w:szCs w:val="24"/>
        </w:rPr>
        <w:t>Carteira</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de</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Identidadede Nº  _________,</w:t>
      </w:r>
      <w:r>
        <w:rPr>
          <w:rFonts w:ascii="Times New Roman" w:hAnsi="Times New Roman"/>
          <w:b w:val="false"/>
          <w:bCs w:val="false"/>
          <w:spacing w:val="9"/>
          <w:sz w:val="24"/>
          <w:szCs w:val="24"/>
        </w:rPr>
        <w:t xml:space="preserve"> </w:t>
      </w:r>
      <w:r>
        <w:rPr>
          <w:rFonts w:ascii="Times New Roman" w:hAnsi="Times New Roman"/>
          <w:b w:val="false"/>
          <w:bCs w:val="false"/>
          <w:sz w:val="24"/>
          <w:szCs w:val="24"/>
        </w:rPr>
        <w:t>expedida</w:t>
      </w:r>
      <w:r>
        <w:rPr>
          <w:rFonts w:ascii="Times New Roman" w:hAnsi="Times New Roman"/>
          <w:b w:val="false"/>
          <w:bCs w:val="false"/>
          <w:spacing w:val="9"/>
          <w:sz w:val="24"/>
          <w:szCs w:val="24"/>
        </w:rPr>
        <w:t xml:space="preserve"> </w:t>
      </w:r>
      <w:r>
        <w:rPr>
          <w:rFonts w:ascii="Times New Roman" w:hAnsi="Times New Roman"/>
          <w:b w:val="false"/>
          <w:bCs w:val="false"/>
          <w:sz w:val="24"/>
          <w:szCs w:val="24"/>
        </w:rPr>
        <w:t>pelo Ministério da Defesa</w:t>
      </w:r>
      <w:r>
        <w:rPr>
          <w:rFonts w:ascii="Times New Roman" w:hAnsi="Times New Roman"/>
          <w:b w:val="false"/>
          <w:bCs w:val="false"/>
          <w:spacing w:val="-1"/>
          <w:sz w:val="24"/>
          <w:szCs w:val="24"/>
        </w:rPr>
        <w:t>,</w:t>
      </w:r>
      <w:r>
        <w:rPr>
          <w:rFonts w:ascii="Times New Roman" w:hAnsi="Times New Roman"/>
          <w:b w:val="false"/>
          <w:bCs w:val="false"/>
          <w:spacing w:val="-48"/>
          <w:sz w:val="24"/>
          <w:szCs w:val="24"/>
        </w:rPr>
        <w:t xml:space="preserve">  </w:t>
      </w:r>
      <w:r>
        <w:rPr>
          <w:rFonts w:ascii="Times New Roman" w:hAnsi="Times New Roman"/>
          <w:b w:val="false"/>
          <w:bCs w:val="false"/>
          <w:sz w:val="24"/>
          <w:szCs w:val="24"/>
        </w:rPr>
        <w:t>considerando</w:t>
      </w:r>
      <w:r>
        <w:rPr>
          <w:rFonts w:ascii="Times New Roman" w:hAnsi="Times New Roman"/>
          <w:b w:val="false"/>
          <w:bCs w:val="false"/>
          <w:spacing w:val="-9"/>
          <w:sz w:val="24"/>
          <w:szCs w:val="24"/>
        </w:rPr>
        <w:t xml:space="preserve"> </w:t>
      </w:r>
      <w:r>
        <w:rPr>
          <w:rFonts w:ascii="Times New Roman" w:hAnsi="Times New Roman"/>
          <w:b w:val="false"/>
          <w:bCs w:val="false"/>
          <w:sz w:val="24"/>
          <w:szCs w:val="24"/>
        </w:rPr>
        <w:t>o</w:t>
      </w:r>
      <w:r>
        <w:rPr>
          <w:rFonts w:ascii="Times New Roman" w:hAnsi="Times New Roman"/>
          <w:b w:val="false"/>
          <w:bCs w:val="false"/>
          <w:spacing w:val="-6"/>
          <w:sz w:val="24"/>
          <w:szCs w:val="24"/>
        </w:rPr>
        <w:t xml:space="preserve"> </w:t>
      </w:r>
      <w:r>
        <w:rPr>
          <w:rFonts w:ascii="Times New Roman" w:hAnsi="Times New Roman"/>
          <w:b w:val="false"/>
          <w:bCs w:val="false"/>
          <w:sz w:val="24"/>
          <w:szCs w:val="24"/>
        </w:rPr>
        <w:t>julgamento</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da</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licitação</w:t>
      </w:r>
      <w:r>
        <w:rPr>
          <w:rFonts w:ascii="Times New Roman" w:hAnsi="Times New Roman"/>
          <w:b w:val="false"/>
          <w:bCs w:val="false"/>
          <w:spacing w:val="-9"/>
          <w:sz w:val="24"/>
          <w:szCs w:val="24"/>
        </w:rPr>
        <w:t xml:space="preserve"> </w:t>
      </w:r>
      <w:r>
        <w:rPr>
          <w:rFonts w:ascii="Times New Roman" w:hAnsi="Times New Roman"/>
          <w:b w:val="false"/>
          <w:bCs w:val="false"/>
          <w:sz w:val="24"/>
          <w:szCs w:val="24"/>
        </w:rPr>
        <w:t>na</w:t>
      </w:r>
      <w:r>
        <w:rPr>
          <w:rFonts w:ascii="Times New Roman" w:hAnsi="Times New Roman"/>
          <w:b w:val="false"/>
          <w:bCs w:val="false"/>
          <w:spacing w:val="-6"/>
          <w:sz w:val="24"/>
          <w:szCs w:val="24"/>
        </w:rPr>
        <w:t xml:space="preserve"> </w:t>
      </w:r>
      <w:r>
        <w:rPr>
          <w:rFonts w:ascii="Times New Roman" w:hAnsi="Times New Roman"/>
          <w:b w:val="false"/>
          <w:bCs w:val="false"/>
          <w:sz w:val="24"/>
          <w:szCs w:val="24"/>
        </w:rPr>
        <w:t>modalidade</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de</w:t>
      </w:r>
      <w:r>
        <w:rPr>
          <w:rFonts w:ascii="Times New Roman" w:hAnsi="Times New Roman"/>
          <w:b w:val="false"/>
          <w:bCs w:val="false"/>
          <w:spacing w:val="-8"/>
          <w:sz w:val="24"/>
          <w:szCs w:val="24"/>
        </w:rPr>
        <w:t xml:space="preserve"> </w:t>
      </w:r>
      <w:r>
        <w:rPr>
          <w:rFonts w:ascii="Times New Roman" w:hAnsi="Times New Roman"/>
          <w:b w:val="false"/>
          <w:bCs w:val="false"/>
          <w:sz w:val="24"/>
          <w:szCs w:val="24"/>
        </w:rPr>
        <w:t>PREGÃO,</w:t>
      </w:r>
      <w:r>
        <w:rPr>
          <w:rFonts w:ascii="Times New Roman" w:hAnsi="Times New Roman"/>
          <w:b w:val="false"/>
          <w:bCs w:val="false"/>
          <w:spacing w:val="-9"/>
          <w:sz w:val="24"/>
          <w:szCs w:val="24"/>
        </w:rPr>
        <w:t xml:space="preserve"> </w:t>
      </w:r>
      <w:r>
        <w:rPr>
          <w:rFonts w:ascii="Times New Roman" w:hAnsi="Times New Roman"/>
          <w:b w:val="false"/>
          <w:bCs w:val="false"/>
          <w:sz w:val="24"/>
          <w:szCs w:val="24"/>
        </w:rPr>
        <w:t>na</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forma</w:t>
      </w:r>
      <w:r>
        <w:rPr>
          <w:rFonts w:ascii="Times New Roman" w:hAnsi="Times New Roman"/>
          <w:b w:val="false"/>
          <w:bCs w:val="false"/>
          <w:spacing w:val="-6"/>
          <w:sz w:val="24"/>
          <w:szCs w:val="24"/>
        </w:rPr>
        <w:t xml:space="preserve"> </w:t>
      </w:r>
      <w:r>
        <w:rPr>
          <w:rFonts w:ascii="Times New Roman" w:hAnsi="Times New Roman"/>
          <w:b w:val="false"/>
          <w:bCs w:val="false"/>
          <w:sz w:val="24"/>
          <w:szCs w:val="24"/>
        </w:rPr>
        <w:t>eletrónica,</w:t>
      </w:r>
      <w:r>
        <w:rPr>
          <w:rFonts w:ascii="Times New Roman" w:hAnsi="Times New Roman"/>
          <w:b w:val="false"/>
          <w:bCs w:val="false"/>
          <w:spacing w:val="-8"/>
          <w:sz w:val="24"/>
          <w:szCs w:val="24"/>
        </w:rPr>
        <w:t xml:space="preserve"> </w:t>
      </w:r>
      <w:r>
        <w:rPr>
          <w:rFonts w:ascii="Times New Roman" w:hAnsi="Times New Roman"/>
          <w:b w:val="false"/>
          <w:bCs w:val="false"/>
          <w:spacing w:val="-48"/>
          <w:sz w:val="24"/>
          <w:szCs w:val="24"/>
        </w:rPr>
        <w:t xml:space="preserve"> </w:t>
      </w:r>
      <w:r>
        <w:rPr>
          <w:rFonts w:ascii="Times New Roman" w:hAnsi="Times New Roman"/>
          <w:b w:val="false"/>
          <w:bCs w:val="false"/>
          <w:sz w:val="24"/>
          <w:szCs w:val="24"/>
        </w:rPr>
        <w:t>nº</w:t>
      </w:r>
      <w:r>
        <w:rPr>
          <w:rFonts w:ascii="Times New Roman" w:hAnsi="Times New Roman"/>
          <w:b w:val="false"/>
          <w:bCs w:val="false"/>
          <w:spacing w:val="24"/>
          <w:sz w:val="24"/>
          <w:szCs w:val="24"/>
        </w:rPr>
        <w:t xml:space="preserve"> 9000</w:t>
      </w:r>
      <w:r>
        <w:rPr>
          <w:rFonts w:ascii="Times New Roman" w:hAnsi="Times New Roman"/>
          <w:b w:val="false"/>
          <w:bCs w:val="false"/>
          <w:spacing w:val="24"/>
          <w:sz w:val="24"/>
          <w:szCs w:val="24"/>
        </w:rPr>
        <w:t>4</w:t>
      </w:r>
      <w:r>
        <w:rPr>
          <w:rFonts w:ascii="Times New Roman" w:hAnsi="Times New Roman"/>
          <w:b w:val="false"/>
          <w:bCs w:val="false"/>
          <w:sz w:val="24"/>
          <w:szCs w:val="24"/>
        </w:rPr>
        <w:t>/2025,</w:t>
      </w:r>
      <w:r>
        <w:rPr>
          <w:rFonts w:ascii="Times New Roman" w:hAnsi="Times New Roman"/>
          <w:b w:val="false"/>
          <w:bCs w:val="false"/>
          <w:spacing w:val="20"/>
          <w:sz w:val="24"/>
          <w:szCs w:val="24"/>
        </w:rPr>
        <w:t xml:space="preserve"> </w:t>
      </w:r>
      <w:r>
        <w:rPr>
          <w:rFonts w:ascii="Times New Roman" w:hAnsi="Times New Roman"/>
          <w:b w:val="false"/>
          <w:bCs w:val="false"/>
          <w:sz w:val="24"/>
          <w:szCs w:val="24"/>
        </w:rPr>
        <w:t xml:space="preserve">e o(a) .............................., inscrito(a) no CNPJ/MF sob o nº ............................, sediado(a) na ..................................., em ............................. doravante designado CONTRATADO, neste ato representado(a) por .................................. (nome e função no contratado), conforme atos constitutivos da empresa OU procuração apresentada nos autos, tendo em vista o que consta no Processo nº .............................. e em observância às disposições da </w:t>
      </w:r>
      <w:hyperlink r:id="rId3" w:tgtFrame="http://www.planalto.gov.br/ccivil_03/_ato2019-2022/2021/lei/L14133.htm">
        <w:r>
          <w:rPr>
            <w:rStyle w:val="LinkdaInternet"/>
            <w:rFonts w:eastAsia="Arial" w:ascii="Times New Roman" w:hAnsi="Times New Roman"/>
            <w:b w:val="false"/>
            <w:bCs w:val="false"/>
            <w:sz w:val="24"/>
            <w:szCs w:val="24"/>
          </w:rPr>
          <w:t>Lei nº 14.133, de 1º de abril de 2021</w:t>
        </w:r>
      </w:hyperlink>
      <w:r>
        <w:rPr>
          <w:rFonts w:ascii="Times New Roman" w:hAnsi="Times New Roman"/>
          <w:b w:val="false"/>
          <w:bCs w:val="false"/>
          <w:sz w:val="24"/>
          <w:szCs w:val="24"/>
        </w:rPr>
        <w:t>, e demais legislação aplicável, resolvem celebrar o presente Termo de Contrato, decorrente do Pregão Eletrônico n. .../..., mediante as cláusulas e condições a seguir enunciadas.</w:t>
      </w:r>
    </w:p>
    <w:p>
      <w:pPr>
        <w:pStyle w:val="Normal"/>
        <w:rPr/>
      </w:pPr>
      <w:r>
        <w:rPr/>
      </w:r>
    </w:p>
    <w:p>
      <w:pPr>
        <w:pStyle w:val="Nivel01"/>
        <w:numPr>
          <w:ilvl w:val="0"/>
          <w:numId w:val="121"/>
        </w:numPr>
        <w:spacing w:lineRule="auto" w:line="312" w:before="120" w:after="288"/>
        <w:ind w:left="0" w:hanging="0"/>
        <w:rPr>
          <w:color w:val="FFFFFF" w:themeColor="background1"/>
        </w:rPr>
      </w:pPr>
      <w:r>
        <w:rPr/>
        <w:t>CLÁUSULA PRIMEIRA – OBJETO (</w:t>
      </w:r>
      <w:hyperlink r:id="rId4" w:tgtFrame="http://www.planalto.gov.br/ccivil_03/_ato2019-2022/2021/lei/L14133.htm#art92">
        <w:r>
          <w:rPr>
            <w:rStyle w:val="LinkdaInternet"/>
          </w:rPr>
          <w:t>art. 92, I e II</w:t>
        </w:r>
      </w:hyperlink>
      <w:r>
        <w:rPr/>
        <w:t>)</w:t>
      </w:r>
    </w:p>
    <w:p>
      <w:pPr>
        <w:pStyle w:val="Nivel2"/>
        <w:numPr>
          <w:ilvl w:val="1"/>
          <w:numId w:val="122"/>
        </w:numPr>
        <w:spacing w:lineRule="auto" w:line="312" w:before="120" w:after="288"/>
        <w:ind w:left="0" w:firstLine="709"/>
        <w:rPr/>
      </w:pPr>
      <w:r>
        <w:rPr/>
        <w:t>O objeto do presente instrumento é a contratação de serviços de manutenção de equipamentos do Setor de Aprovisionamento do Depósito Central de Munição, nas condições estabelecidas no Termo de Referência.</w:t>
      </w:r>
    </w:p>
    <w:p>
      <w:pPr>
        <w:pStyle w:val="Nivel2"/>
        <w:numPr>
          <w:ilvl w:val="1"/>
          <w:numId w:val="123"/>
        </w:numPr>
        <w:spacing w:lineRule="auto" w:line="312" w:before="120" w:after="288"/>
        <w:ind w:left="0" w:firstLine="709"/>
        <w:rPr/>
      </w:pPr>
      <w:r>
        <w:rPr/>
        <w:t>Objeto da contratação:</w:t>
      </w:r>
    </w:p>
    <w:tbl>
      <w:tblPr>
        <w:tblW w:w="9784" w:type="dxa"/>
        <w:jc w:val="left"/>
        <w:tblInd w:w="-147" w:type="dxa"/>
        <w:tblLayout w:type="fixed"/>
        <w:tblCellMar>
          <w:top w:w="0" w:type="dxa"/>
          <w:left w:w="108" w:type="dxa"/>
          <w:bottom w:w="0" w:type="dxa"/>
          <w:right w:w="108" w:type="dxa"/>
        </w:tblCellMar>
        <w:tblLook w:firstRow="1" w:noVBand="1" w:lastRow="0" w:firstColumn="1" w:lastColumn="0" w:noHBand="0" w:val="04a0"/>
      </w:tblPr>
      <w:tblGrid>
        <w:gridCol w:w="993"/>
        <w:gridCol w:w="2553"/>
        <w:gridCol w:w="1277"/>
        <w:gridCol w:w="1135"/>
        <w:gridCol w:w="1561"/>
        <w:gridCol w:w="1275"/>
        <w:gridCol w:w="989"/>
      </w:tblGrid>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ITEM</w:t>
            </w:r>
          </w:p>
          <w:p>
            <w:pPr>
              <w:pStyle w:val="Normal"/>
              <w:widowControl w:val="false"/>
              <w:spacing w:lineRule="auto" w:line="276" w:before="120" w:after="288"/>
              <w:ind w:firstLine="709"/>
              <w:jc w:val="center"/>
              <w:rPr>
                <w:rFonts w:ascii="Arial" w:hAnsi="Arial" w:eastAsia="Arial" w:cs="Arial"/>
                <w:b/>
                <w:b/>
                <w:bCs/>
                <w:color w:val="000000"/>
                <w:sz w:val="20"/>
                <w:szCs w:val="20"/>
              </w:rPr>
            </w:pPr>
            <w:r>
              <w:rPr>
                <w:rFonts w:eastAsia="Arial" w:cs="Arial" w:ascii="Arial" w:hAnsi="Arial"/>
                <w:b/>
                <w:bCs/>
                <w:color w:val="000000"/>
                <w:sz w:val="20"/>
                <w:szCs w:val="20"/>
              </w:rPr>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ESPECIFICAÇÃO</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CATSER</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UNIDADE DE MEDIDA</w:t>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b/>
                <w:b/>
                <w:bCs/>
                <w:sz w:val="20"/>
                <w:szCs w:val="20"/>
              </w:rPr>
            </w:pPr>
            <w:r>
              <w:rPr>
                <w:rFonts w:eastAsia="Arial" w:cs="Arial" w:ascii="Arial" w:hAnsi="Arial"/>
                <w:b/>
                <w:bCs/>
                <w:sz w:val="20"/>
                <w:szCs w:val="20"/>
              </w:rPr>
              <w:t>QUANTIDADE</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b/>
                <w:b/>
                <w:bCs/>
                <w:sz w:val="20"/>
                <w:szCs w:val="20"/>
              </w:rPr>
            </w:pPr>
            <w:r>
              <w:rPr>
                <w:rFonts w:eastAsia="Arial" w:cs="Arial" w:ascii="Arial" w:hAnsi="Arial"/>
                <w:b/>
                <w:bCs/>
                <w:sz w:val="20"/>
                <w:szCs w:val="20"/>
              </w:rPr>
              <w:t>VALOR UNITÁRIO</w:t>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b/>
                <w:b/>
                <w:bCs/>
                <w:sz w:val="20"/>
                <w:szCs w:val="20"/>
              </w:rPr>
            </w:pPr>
            <w:r>
              <w:rPr>
                <w:rFonts w:eastAsia="Arial" w:cs="Arial" w:ascii="Arial" w:hAnsi="Arial"/>
                <w:b/>
                <w:bCs/>
                <w:sz w:val="20"/>
                <w:szCs w:val="20"/>
              </w:rPr>
              <w:t>VALOR TOTAL</w:t>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b/>
                <w:b/>
                <w:bCs/>
                <w:color w:val="000000"/>
                <w:sz w:val="20"/>
                <w:szCs w:val="20"/>
              </w:rPr>
            </w:pPr>
            <w:r>
              <w:rPr>
                <w:rFonts w:eastAsia="Arial" w:cs="Arial" w:ascii="Arial" w:hAnsi="Arial"/>
                <w:b/>
                <w:bCs/>
                <w:color w:val="000000" w:themeColor="text1"/>
                <w:sz w:val="20"/>
                <w:szCs w:val="20"/>
              </w:rPr>
              <w:t>1</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b/>
                <w:b/>
                <w:bCs/>
                <w:color w:val="000000"/>
                <w:sz w:val="20"/>
                <w:szCs w:val="20"/>
              </w:rPr>
            </w:pPr>
            <w:r>
              <w:rPr>
                <w:rFonts w:eastAsia="Arial" w:cs="Arial" w:ascii="Arial" w:hAnsi="Arial"/>
                <w:b/>
                <w:bCs/>
                <w:color w:val="000000" w:themeColor="text1"/>
                <w:sz w:val="20"/>
                <w:szCs w:val="20"/>
              </w:rPr>
              <w:t>2</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b/>
                <w:b/>
                <w:bCs/>
                <w:color w:val="000000"/>
                <w:sz w:val="20"/>
                <w:szCs w:val="20"/>
              </w:rPr>
            </w:pPr>
            <w:r>
              <w:rPr>
                <w:rFonts w:eastAsia="Arial" w:cs="Arial" w:ascii="Arial" w:hAnsi="Arial"/>
                <w:b/>
                <w:bCs/>
                <w:color w:val="000000" w:themeColor="text1"/>
                <w:sz w:val="20"/>
                <w:szCs w:val="20"/>
              </w:rPr>
              <w:t>3</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sz w:val="20"/>
                <w:szCs w:val="20"/>
              </w:rPr>
            </w:pPr>
            <w:r>
              <w:rPr>
                <w:rFonts w:eastAsia="Arial" w:cs="Arial" w:ascii="Arial" w:hAnsi="Arial"/>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r>
    </w:tbl>
    <w:p>
      <w:pPr>
        <w:pStyle w:val="Nivel2"/>
        <w:numPr>
          <w:ilvl w:val="1"/>
          <w:numId w:val="124"/>
        </w:numPr>
        <w:spacing w:lineRule="auto" w:line="312" w:before="120" w:after="288"/>
        <w:ind w:left="0" w:firstLine="567"/>
        <w:rPr/>
      </w:pPr>
      <w:r>
        <w:rPr/>
        <w:t>Vinculam esta contratação, independentemente de transcrição:</w:t>
      </w:r>
    </w:p>
    <w:p>
      <w:pPr>
        <w:pStyle w:val="Nivel3"/>
        <w:numPr>
          <w:ilvl w:val="2"/>
          <w:numId w:val="125"/>
        </w:numPr>
        <w:spacing w:lineRule="auto" w:line="312" w:before="120" w:after="288"/>
        <w:ind w:left="170" w:firstLine="709"/>
        <w:rPr/>
      </w:pPr>
      <w:r>
        <w:rPr/>
        <w:t>O Termo de Referência;</w:t>
      </w:r>
    </w:p>
    <w:p>
      <w:pPr>
        <w:pStyle w:val="Nivel3"/>
        <w:numPr>
          <w:ilvl w:val="2"/>
          <w:numId w:val="126"/>
        </w:numPr>
        <w:spacing w:lineRule="auto" w:line="312" w:before="120" w:after="288"/>
        <w:ind w:left="170" w:firstLine="709"/>
        <w:rPr/>
      </w:pPr>
      <w:r>
        <w:rPr/>
        <w:t>O Edital da Licitação;</w:t>
      </w:r>
    </w:p>
    <w:p>
      <w:pPr>
        <w:pStyle w:val="Nivel3"/>
        <w:numPr>
          <w:ilvl w:val="2"/>
          <w:numId w:val="127"/>
        </w:numPr>
        <w:spacing w:lineRule="auto" w:line="312" w:before="120" w:after="288"/>
        <w:ind w:left="170" w:firstLine="709"/>
        <w:rPr/>
      </w:pPr>
      <w:r>
        <w:rPr/>
        <w:t>A Proposta do contratado;</w:t>
      </w:r>
    </w:p>
    <w:p>
      <w:pPr>
        <w:pStyle w:val="Nivel3"/>
        <w:numPr>
          <w:ilvl w:val="2"/>
          <w:numId w:val="128"/>
        </w:numPr>
        <w:spacing w:lineRule="auto" w:line="312" w:before="120" w:after="288"/>
        <w:ind w:left="170" w:firstLine="709"/>
        <w:rPr/>
      </w:pPr>
      <w:r>
        <w:rPr/>
        <w:t>Eventuais anexos dos documentos supracitados.</w:t>
      </w:r>
    </w:p>
    <w:p>
      <w:pPr>
        <w:pStyle w:val="Nivel01"/>
        <w:numPr>
          <w:ilvl w:val="0"/>
          <w:numId w:val="129"/>
        </w:numPr>
        <w:spacing w:lineRule="auto" w:line="312" w:before="120" w:after="288"/>
        <w:ind w:left="0" w:hanging="0"/>
        <w:rPr>
          <w:color w:val="FFFFFF" w:themeColor="background1"/>
        </w:rPr>
      </w:pPr>
      <w:r>
        <w:rPr/>
        <w:t>CLÁUSULA SEGUNDA – VIGÊNCIA E PRORROGAÇÃO</w:t>
      </w:r>
    </w:p>
    <w:p>
      <w:pPr>
        <w:pStyle w:val="Nivel2"/>
        <w:numPr>
          <w:ilvl w:val="1"/>
          <w:numId w:val="130"/>
        </w:numPr>
        <w:ind w:left="0" w:firstLine="567"/>
        <w:rPr>
          <w:rFonts w:ascii="Times New Roman" w:hAnsi="Times New Roman" w:cs="Times New Roman"/>
          <w:sz w:val="24"/>
          <w:szCs w:val="24"/>
        </w:rPr>
      </w:pPr>
      <w:r>
        <w:rPr>
          <w:rFonts w:cs="Times New Roman" w:ascii="Times New Roman" w:hAnsi="Times New Roman"/>
          <w:sz w:val="24"/>
          <w:szCs w:val="24"/>
        </w:rPr>
        <w:t xml:space="preserve">O prazo de vigência da contratação é aquele fixado no Termo de Referência contados do (a) ............................., na forma </w:t>
      </w:r>
      <w:hyperlink r:id="rId5" w:tgtFrame="http://www.planalto.gov.br/ccivil_03/_ato2019-2022/2021/lei/L14133.htm#art105">
        <w:r>
          <w:rPr>
            <w:rStyle w:val="LinkdaInternet"/>
            <w:rFonts w:cs="Times New Roman" w:ascii="Times New Roman" w:hAnsi="Times New Roman"/>
            <w:iCs/>
            <w:color w:val="auto"/>
            <w:sz w:val="24"/>
            <w:szCs w:val="24"/>
          </w:rPr>
          <w:t>do artigo 105 da Lei n° 14.133, de 2021</w:t>
        </w:r>
      </w:hyperlink>
      <w:r>
        <w:rPr>
          <w:rFonts w:cs="Times New Roman" w:ascii="Times New Roman" w:hAnsi="Times New Roman"/>
          <w:sz w:val="24"/>
          <w:szCs w:val="24"/>
        </w:rPr>
        <w:t>.</w:t>
      </w:r>
    </w:p>
    <w:p>
      <w:pPr>
        <w:pStyle w:val="Nivel2"/>
        <w:numPr>
          <w:ilvl w:val="0"/>
          <w:numId w:val="0"/>
        </w:numPr>
        <w:ind w:left="567" w:hanging="0"/>
        <w:rPr>
          <w:rFonts w:ascii="Times New Roman" w:hAnsi="Times New Roman" w:cs="Times New Roman"/>
          <w:sz w:val="24"/>
          <w:szCs w:val="24"/>
        </w:rPr>
      </w:pPr>
      <w:r>
        <w:rPr>
          <w:rFonts w:cs="Times New Roman" w:ascii="Times New Roman" w:hAnsi="Times New Roman"/>
          <w:sz w:val="24"/>
          <w:szCs w:val="24"/>
        </w:rPr>
      </w:r>
    </w:p>
    <w:p>
      <w:pPr>
        <w:pStyle w:val="Nivel2"/>
        <w:numPr>
          <w:ilvl w:val="1"/>
          <w:numId w:val="131"/>
        </w:numPr>
        <w:spacing w:lineRule="auto" w:line="312" w:before="120" w:after="288"/>
        <w:ind w:left="0" w:firstLine="567"/>
        <w:rPr>
          <w:iCs/>
          <w:color w:val="auto"/>
        </w:rPr>
      </w:pPr>
      <w:r>
        <w:rPr>
          <w:iCs/>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Nivel01"/>
        <w:numPr>
          <w:ilvl w:val="0"/>
          <w:numId w:val="132"/>
        </w:numPr>
        <w:spacing w:lineRule="auto" w:line="312" w:before="120" w:after="288"/>
        <w:ind w:left="0" w:hanging="0"/>
        <w:rPr>
          <w:color w:val="FFFFFF" w:themeColor="background1"/>
        </w:rPr>
      </w:pPr>
      <w:bookmarkStart w:id="0" w:name="_Hlk114497577"/>
      <w:bookmarkStart w:id="1" w:name="_Hlk114497502"/>
      <w:bookmarkEnd w:id="0"/>
      <w:bookmarkEnd w:id="1"/>
      <w:r>
        <w:rPr/>
        <w:t>CLÁUSULA TERCEIRA – MODELOS DE EXECUÇÃO E GESTÃO CONTRATUAIS (</w:t>
      </w:r>
      <w:hyperlink r:id="rId6" w:tgtFrame="http://www.planalto.gov.br/ccivil_03/_ato2019-2022/2021/lei/L14133.htm#art92">
        <w:r>
          <w:rPr>
            <w:rStyle w:val="LinkdaInternet"/>
          </w:rPr>
          <w:t>art. 92, IV, VII e XVIII)</w:t>
        </w:r>
      </w:hyperlink>
    </w:p>
    <w:p>
      <w:pPr>
        <w:pStyle w:val="Nivel2"/>
        <w:numPr>
          <w:ilvl w:val="1"/>
          <w:numId w:val="133"/>
        </w:numPr>
        <w:spacing w:lineRule="auto" w:line="312" w:before="120" w:after="288"/>
        <w:ind w:left="0" w:firstLine="567"/>
        <w:rPr/>
      </w:pPr>
      <w: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34"/>
        </w:numPr>
        <w:spacing w:lineRule="auto" w:line="312" w:before="120" w:after="288"/>
        <w:ind w:left="0" w:hanging="0"/>
        <w:rPr>
          <w:color w:val="FFFFFF" w:themeColor="background1"/>
        </w:rPr>
      </w:pPr>
      <w:r>
        <w:rPr/>
        <w:t>CLÁUSULA QUARTA – SUBCONTRATAÇÃO</w:t>
      </w:r>
    </w:p>
    <w:p>
      <w:pPr>
        <w:pStyle w:val="Nivel2"/>
        <w:numPr>
          <w:ilvl w:val="1"/>
          <w:numId w:val="135"/>
        </w:numPr>
        <w:spacing w:lineRule="auto" w:line="312" w:before="120" w:after="288"/>
        <w:ind w:left="0" w:firstLine="567"/>
        <w:rPr>
          <w:iCs/>
          <w:color w:val="auto"/>
        </w:rPr>
      </w:pPr>
      <w:r>
        <w:rPr>
          <w:iCs/>
          <w:color w:val="auto"/>
        </w:rPr>
        <w:t>Não será admitida a subcontratação do objeto contratual.</w:t>
      </w:r>
    </w:p>
    <w:p>
      <w:pPr>
        <w:pStyle w:val="Nivel2"/>
        <w:numPr>
          <w:ilvl w:val="0"/>
          <w:numId w:val="0"/>
        </w:numPr>
        <w:spacing w:lineRule="auto" w:line="312" w:before="120" w:after="288"/>
        <w:ind w:left="567" w:hanging="0"/>
        <w:rPr/>
      </w:pPr>
      <w:r>
        <w:rPr/>
      </w:r>
    </w:p>
    <w:p>
      <w:pPr>
        <w:pStyle w:val="Nivel01"/>
        <w:numPr>
          <w:ilvl w:val="0"/>
          <w:numId w:val="136"/>
        </w:numPr>
        <w:spacing w:lineRule="auto" w:line="312" w:before="120" w:after="288"/>
        <w:ind w:left="0" w:hanging="0"/>
        <w:rPr>
          <w:color w:val="FFFFFF" w:themeColor="background1"/>
        </w:rPr>
      </w:pPr>
      <w:r>
        <w:rPr/>
        <w:t>CLÁUSULA QUINTA - PREÇO</w:t>
      </w:r>
    </w:p>
    <w:p>
      <w:pPr>
        <w:pStyle w:val="Nivel2"/>
        <w:numPr>
          <w:ilvl w:val="1"/>
          <w:numId w:val="137"/>
        </w:numPr>
        <w:spacing w:lineRule="auto" w:line="312" w:before="120" w:after="288"/>
        <w:ind w:left="0" w:firstLine="567"/>
        <w:rPr>
          <w:iCs/>
          <w:color w:val="auto"/>
        </w:rPr>
      </w:pPr>
      <w:r>
        <w:rPr>
          <w:iCs/>
          <w:color w:val="auto"/>
        </w:rPr>
        <w:t>O valor total da contratação é de R$.......... (.....)</w:t>
      </w:r>
    </w:p>
    <w:p>
      <w:pPr>
        <w:pStyle w:val="Nivel2"/>
        <w:numPr>
          <w:ilvl w:val="1"/>
          <w:numId w:val="138"/>
        </w:numPr>
        <w:spacing w:lineRule="auto" w:line="312" w:before="120" w:after="288"/>
        <w:ind w:left="0" w:firstLine="567"/>
        <w:rPr>
          <w:iCs/>
          <w:color w:val="auto"/>
        </w:rPr>
      </w:pPr>
      <w:r>
        <w:rPr>
          <w:iCs/>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ivel2"/>
        <w:numPr>
          <w:ilvl w:val="1"/>
          <w:numId w:val="139"/>
        </w:numPr>
        <w:spacing w:lineRule="auto" w:line="312" w:before="120" w:after="288"/>
        <w:ind w:left="0" w:firstLine="567"/>
        <w:rPr>
          <w:iCs/>
          <w:color w:val="auto"/>
        </w:rPr>
      </w:pPr>
      <w:r>
        <w:rPr>
          <w:iCs/>
          <w:color w:val="auto"/>
        </w:rPr>
        <w:t>O valor acima é meramente estimativo, de forma que os pagamentos devidos ao contratado dependerão dos quantitativos efetivamente fornecidos.</w:t>
      </w:r>
    </w:p>
    <w:p>
      <w:pPr>
        <w:pStyle w:val="Nivel01"/>
        <w:numPr>
          <w:ilvl w:val="0"/>
          <w:numId w:val="140"/>
        </w:numPr>
        <w:spacing w:lineRule="auto" w:line="312" w:before="120" w:after="288"/>
        <w:ind w:left="0" w:hanging="0"/>
        <w:rPr>
          <w:color w:val="FFFFFF" w:themeColor="background1"/>
        </w:rPr>
      </w:pPr>
      <w:r>
        <w:rPr/>
        <w:t>CLÁUSULA SEXTA - PAGAMENTO (</w:t>
      </w:r>
      <w:hyperlink r:id="rId7" w:tgtFrame="http://www.planalto.gov.br/ccivil_03/_ato2019-2022/2021/lei/L14133.htm#art92">
        <w:r>
          <w:rPr>
            <w:rStyle w:val="LinkdaInternet"/>
          </w:rPr>
          <w:t>art. 92, V e VI</w:t>
        </w:r>
      </w:hyperlink>
      <w:r>
        <w:rPr/>
        <w:t>)</w:t>
      </w:r>
    </w:p>
    <w:p>
      <w:pPr>
        <w:pStyle w:val="Nivel2"/>
        <w:numPr>
          <w:ilvl w:val="1"/>
          <w:numId w:val="141"/>
        </w:numPr>
        <w:spacing w:lineRule="auto" w:line="312" w:before="120" w:after="288"/>
        <w:ind w:left="0" w:firstLine="567"/>
        <w:rPr/>
      </w:pPr>
      <w:r>
        <w:rPr/>
        <w:t xml:space="preserve">O prazo para pagamento </w:t>
      </w:r>
      <w:r>
        <w:rPr>
          <w:color w:val="auto"/>
          <w:lang w:eastAsia="en-US"/>
        </w:rPr>
        <w:t>ao contratado</w:t>
      </w:r>
      <w:r>
        <w:rPr/>
        <w:t xml:space="preserve"> e demais condições a ele referentes encontram-se definidos no Termo de Referência, anexo a este Contrato.</w:t>
      </w:r>
    </w:p>
    <w:p>
      <w:pPr>
        <w:pStyle w:val="Nivel01"/>
        <w:numPr>
          <w:ilvl w:val="0"/>
          <w:numId w:val="142"/>
        </w:numPr>
        <w:spacing w:lineRule="auto" w:line="312" w:before="120" w:after="288"/>
        <w:ind w:left="0" w:hanging="0"/>
        <w:rPr>
          <w:color w:val="FFFFFF" w:themeColor="background1"/>
        </w:rPr>
      </w:pPr>
      <w:r>
        <w:rPr/>
        <w:t>CLÁUSULA SÉTIMA - REAJUSTE (</w:t>
      </w:r>
      <w:hyperlink r:id="rId8" w:tgtFrame="http://www.planalto.gov.br/ccivil_03/_ato2019-2022/2021/lei/L14133.htm#art92">
        <w:r>
          <w:rPr>
            <w:rStyle w:val="LinkdaInternet"/>
          </w:rPr>
          <w:t>art. 92, V</w:t>
        </w:r>
      </w:hyperlink>
      <w:r>
        <w:rPr/>
        <w:t>)</w:t>
      </w:r>
    </w:p>
    <w:p>
      <w:pPr>
        <w:pStyle w:val="Nivel2"/>
        <w:numPr>
          <w:ilvl w:val="1"/>
          <w:numId w:val="143"/>
        </w:numPr>
        <w:spacing w:lineRule="auto" w:line="312" w:before="120" w:after="288"/>
        <w:ind w:left="0" w:firstLine="567"/>
        <w:rPr/>
      </w:pPr>
      <w:r>
        <w:rPr/>
        <w:t xml:space="preserve">Os preços inicialmente contratados são fixos e irreajustáveis no prazo de um ano contado da data do orçamento estimado, em </w:t>
      </w:r>
      <w:r>
        <w:rPr>
          <w:i/>
          <w:iCs/>
          <w:color w:val="auto"/>
        </w:rPr>
        <w:t>__/__/__ (DD/MM/AAAA)</w:t>
      </w:r>
      <w:r>
        <w:rPr>
          <w:color w:val="auto"/>
        </w:rPr>
        <w:t>.</w:t>
      </w:r>
    </w:p>
    <w:p>
      <w:pPr>
        <w:pStyle w:val="Nivel2"/>
        <w:numPr>
          <w:ilvl w:val="1"/>
          <w:numId w:val="144"/>
        </w:numPr>
        <w:spacing w:lineRule="auto" w:line="312" w:before="120" w:after="288"/>
        <w:ind w:left="0" w:firstLine="567"/>
        <w:rPr/>
      </w:pPr>
      <w:r>
        <w:rPr/>
        <w:t>Após o interregno de um ano, e independentemente de pedido do contratado, os preços iniciais serão reajustados, mediante a aplicação, pelo contratante, do índice IPCA</w:t>
      </w:r>
      <w:r>
        <w:rPr>
          <w:i/>
          <w:iCs/>
        </w:rPr>
        <w:t>,</w:t>
      </w:r>
      <w:r>
        <w:rPr/>
        <w:t xml:space="preserve"> exclusivamente para as obrigações iniciadas e concluídas após a ocorrência da anualidade.</w:t>
      </w:r>
    </w:p>
    <w:p>
      <w:pPr>
        <w:pStyle w:val="Nivel2"/>
        <w:numPr>
          <w:ilvl w:val="1"/>
          <w:numId w:val="145"/>
        </w:numPr>
        <w:spacing w:lineRule="auto" w:line="312" w:before="120" w:after="288"/>
        <w:ind w:left="0" w:firstLine="567"/>
        <w:rPr/>
      </w:pPr>
      <w:r>
        <w:rPr/>
        <w:t>Nos reajustes subsequentes ao primeiro, o interregno mínimo de um ano será contado a partir dos efeitos financeiros do último reajuste.</w:t>
      </w:r>
    </w:p>
    <w:p>
      <w:pPr>
        <w:pStyle w:val="Nivel2"/>
        <w:numPr>
          <w:ilvl w:val="1"/>
          <w:numId w:val="146"/>
        </w:numPr>
        <w:spacing w:lineRule="auto" w:line="312" w:before="120" w:after="288"/>
        <w:ind w:left="0" w:firstLine="567"/>
        <w:rPr/>
      </w:pPr>
      <w:r>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Nivel2"/>
        <w:numPr>
          <w:ilvl w:val="1"/>
          <w:numId w:val="147"/>
        </w:numPr>
        <w:spacing w:lineRule="auto" w:line="312" w:before="120" w:after="288"/>
        <w:ind w:left="0" w:firstLine="567"/>
        <w:rPr/>
      </w:pPr>
      <w:r>
        <w:rPr/>
        <w:t>Nas aferições finais, o(s) índice(s) utilizado(s) para reajuste será(ão), obrigatoriamente, o(s) definitivo(s).</w:t>
      </w:r>
    </w:p>
    <w:p>
      <w:pPr>
        <w:pStyle w:val="Nivel2"/>
        <w:numPr>
          <w:ilvl w:val="1"/>
          <w:numId w:val="148"/>
        </w:numPr>
        <w:spacing w:lineRule="auto" w:line="312" w:before="120" w:after="288"/>
        <w:ind w:left="0" w:firstLine="567"/>
        <w:rPr/>
      </w:pPr>
      <w:r>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149"/>
        </w:numPr>
        <w:spacing w:lineRule="auto" w:line="312" w:before="120" w:after="288"/>
        <w:ind w:left="0" w:firstLine="567"/>
        <w:rPr/>
      </w:pPr>
      <w:r>
        <w:rPr/>
        <w:t xml:space="preserve">Na ausência de previsão legal quanto ao índice substituto, as partes elegerão novo índice oficial, para reajustamento do preço do valor remanescente, por meio de termo aditivo. </w:t>
      </w:r>
    </w:p>
    <w:p>
      <w:pPr>
        <w:pStyle w:val="Nivel2"/>
        <w:numPr>
          <w:ilvl w:val="1"/>
          <w:numId w:val="150"/>
        </w:numPr>
        <w:spacing w:lineRule="auto" w:line="312" w:before="120" w:after="288"/>
        <w:ind w:left="0" w:firstLine="567"/>
        <w:rPr/>
      </w:pPr>
      <w:r>
        <w:rPr/>
        <w:t>O reajuste será realizado por apostilamento.</w:t>
      </w:r>
    </w:p>
    <w:p>
      <w:pPr>
        <w:pStyle w:val="Nivel01"/>
        <w:numPr>
          <w:ilvl w:val="0"/>
          <w:numId w:val="151"/>
        </w:numPr>
        <w:spacing w:lineRule="auto" w:line="312" w:before="120" w:after="288"/>
        <w:ind w:left="0" w:hanging="0"/>
        <w:rPr>
          <w:color w:val="FFFFFF" w:themeColor="background1"/>
        </w:rPr>
      </w:pPr>
      <w:r>
        <w:rPr/>
        <w:t xml:space="preserve">CLÁUSULA OITAVA - OBRIGAÇÕES DO CONTRATANTE </w:t>
      </w:r>
      <w:hyperlink r:id="rId9" w:tgtFrame="http://www.planalto.gov.br/ccivil_03/_ato2019-2022/2021/lei/L14133.htm#art92">
        <w:r>
          <w:rPr>
            <w:rStyle w:val="LinkdaInternet"/>
          </w:rPr>
          <w:t>(art. 92, X, XI e XIV</w:t>
        </w:r>
      </w:hyperlink>
      <w:r>
        <w:rPr/>
        <w:t>)</w:t>
      </w:r>
    </w:p>
    <w:p>
      <w:pPr>
        <w:pStyle w:val="Nivel2"/>
        <w:numPr>
          <w:ilvl w:val="1"/>
          <w:numId w:val="152"/>
        </w:numPr>
        <w:spacing w:lineRule="auto" w:line="312" w:before="120" w:after="288"/>
        <w:ind w:left="0" w:firstLine="567"/>
        <w:rPr>
          <w:b/>
          <w:b/>
          <w:bCs/>
        </w:rPr>
      </w:pPr>
      <w:r>
        <w:rPr/>
        <w:t>São obrigações do Contratante:</w:t>
      </w:r>
    </w:p>
    <w:p>
      <w:pPr>
        <w:pStyle w:val="Nivel2"/>
        <w:numPr>
          <w:ilvl w:val="1"/>
          <w:numId w:val="153"/>
        </w:numPr>
        <w:spacing w:lineRule="auto" w:line="312" w:before="120" w:after="288"/>
        <w:ind w:left="0" w:firstLine="567"/>
        <w:rPr/>
      </w:pPr>
      <w:r>
        <w:rPr/>
        <w:t>Exigir o cumprimento de todas as obrigações assumidas pelo Contratado, de acordo com o contrato e seus anexos;</w:t>
      </w:r>
    </w:p>
    <w:p>
      <w:pPr>
        <w:pStyle w:val="Nivel2"/>
        <w:numPr>
          <w:ilvl w:val="1"/>
          <w:numId w:val="154"/>
        </w:numPr>
        <w:spacing w:lineRule="auto" w:line="312" w:before="120" w:after="288"/>
        <w:ind w:left="0" w:firstLine="567"/>
        <w:rPr/>
      </w:pPr>
      <w:r>
        <w:rPr/>
        <w:t>Receber o objeto no prazo e condições estabelecidas no Termo de Referência;</w:t>
      </w:r>
    </w:p>
    <w:p>
      <w:pPr>
        <w:pStyle w:val="Nivel2"/>
        <w:numPr>
          <w:ilvl w:val="1"/>
          <w:numId w:val="155"/>
        </w:numPr>
        <w:spacing w:lineRule="auto" w:line="312" w:before="120" w:after="288"/>
        <w:ind w:left="0" w:firstLine="567"/>
        <w:rPr/>
      </w:pPr>
      <w:r>
        <w:rPr/>
        <w:t>Notificar o Contratado, por escrito, sobre vícios, defeitos ou incorreções verificadas no objeto fornecido, para que seja por ele substituído, reparado ou corrigido, no total ou em parte, às suas expensas;</w:t>
      </w:r>
    </w:p>
    <w:p>
      <w:pPr>
        <w:pStyle w:val="Nivel2"/>
        <w:numPr>
          <w:ilvl w:val="1"/>
          <w:numId w:val="156"/>
        </w:numPr>
        <w:spacing w:lineRule="auto" w:line="312" w:before="120" w:after="288"/>
        <w:ind w:left="0" w:firstLine="567"/>
        <w:rPr/>
      </w:pPr>
      <w:r>
        <w:rPr/>
        <w:t>Acompanhar e fiscalizar a execução do contrato e o cumprimento das obrigações pelo Contratado;</w:t>
      </w:r>
    </w:p>
    <w:p>
      <w:pPr>
        <w:pStyle w:val="Nivel2"/>
        <w:numPr>
          <w:ilvl w:val="1"/>
          <w:numId w:val="157"/>
        </w:numPr>
        <w:spacing w:lineRule="auto" w:line="312" w:before="120" w:after="288"/>
        <w:ind w:left="0" w:firstLine="567"/>
        <w:rPr/>
      </w:pPr>
      <w:r>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pPr>
        <w:pStyle w:val="Nivel2"/>
        <w:numPr>
          <w:ilvl w:val="1"/>
          <w:numId w:val="158"/>
        </w:numPr>
        <w:spacing w:lineRule="auto" w:line="312" w:before="120" w:after="288"/>
        <w:ind w:left="0" w:firstLine="567"/>
        <w:rPr/>
      </w:pPr>
      <w:r>
        <w:rPr/>
        <w:t>Efetuar o pagamento ao Contratado do valor correspondente à execução do objeto, no prazo, forma e condições estabelecidos no presente Contrato e no Termo de Referência;</w:t>
      </w:r>
    </w:p>
    <w:p>
      <w:pPr>
        <w:pStyle w:val="Nivel2"/>
        <w:numPr>
          <w:ilvl w:val="1"/>
          <w:numId w:val="159"/>
        </w:numPr>
        <w:spacing w:lineRule="auto" w:line="312" w:before="120" w:after="288"/>
        <w:ind w:left="0" w:firstLine="567"/>
        <w:rPr/>
      </w:pPr>
      <w:r>
        <w:rPr/>
        <w:t xml:space="preserve">Aplicar ao Contratado as sanções previstas na lei e neste Contrato; </w:t>
      </w:r>
    </w:p>
    <w:p>
      <w:pPr>
        <w:pStyle w:val="Nivel2"/>
        <w:numPr>
          <w:ilvl w:val="1"/>
          <w:numId w:val="160"/>
        </w:numPr>
        <w:spacing w:lineRule="auto" w:line="312" w:before="120" w:after="288"/>
        <w:ind w:left="0" w:firstLine="567"/>
        <w:rPr/>
      </w:pPr>
      <w:r>
        <w:rPr/>
        <w:t>Cientificar o órgão de representação judicial da Advocacia-Geral da União para adoção das medidas cabíveis quando do descumprimento de obrigações pelo Contratado;</w:t>
      </w:r>
    </w:p>
    <w:p>
      <w:pPr>
        <w:pStyle w:val="Nivel2"/>
        <w:numPr>
          <w:ilvl w:val="1"/>
          <w:numId w:val="161"/>
        </w:numPr>
        <w:spacing w:lineRule="auto" w:line="312" w:before="120" w:after="288"/>
        <w:ind w:left="0" w:firstLine="567"/>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3"/>
        <w:numPr>
          <w:ilvl w:val="2"/>
          <w:numId w:val="162"/>
        </w:numPr>
        <w:spacing w:lineRule="auto" w:line="312" w:before="120" w:after="288"/>
        <w:ind w:left="170" w:firstLine="709"/>
        <w:rPr>
          <w:b/>
          <w:b/>
          <w:bCs/>
          <w:color w:val="auto"/>
        </w:rPr>
      </w:pPr>
      <w:r>
        <w:rPr/>
        <w:t xml:space="preserve"> </w:t>
      </w:r>
      <w:r>
        <w:rPr/>
        <w:t xml:space="preserve">A </w:t>
      </w:r>
      <w:r>
        <w:rPr>
          <w:color w:val="auto"/>
        </w:rPr>
        <w:t xml:space="preserve">Administração terá o prazo de 30 (trinta) dias, a contar da data do protocolo do requerimento para decidir, admitida a prorrogação motivada, por igual período. </w:t>
      </w:r>
    </w:p>
    <w:p>
      <w:pPr>
        <w:pStyle w:val="Nivel2"/>
        <w:numPr>
          <w:ilvl w:val="1"/>
          <w:numId w:val="163"/>
        </w:numPr>
        <w:spacing w:lineRule="auto" w:line="312" w:before="120" w:after="288"/>
        <w:ind w:left="0" w:firstLine="567"/>
        <w:rPr>
          <w:color w:val="auto"/>
        </w:rPr>
      </w:pPr>
      <w:r>
        <w:rPr>
          <w:color w:val="auto"/>
        </w:rPr>
        <w:t>Responder eventuais pedidos de reestabelecimento do equilíbrio econômico-financeiro feitos pelo contratado no prazo máximo de 15 (quinze) dias.</w:t>
      </w:r>
    </w:p>
    <w:p>
      <w:pPr>
        <w:pStyle w:val="Nvel2Red"/>
        <w:numPr>
          <w:ilvl w:val="1"/>
          <w:numId w:val="164"/>
        </w:numPr>
        <w:spacing w:lineRule="auto" w:line="312" w:before="120" w:after="288"/>
        <w:ind w:left="0" w:firstLine="567"/>
        <w:rPr>
          <w:i w:val="false"/>
          <w:i w:val="false"/>
          <w:iCs w:val="false"/>
          <w:color w:val="auto"/>
        </w:rPr>
      </w:pPr>
      <w:bookmarkStart w:id="2" w:name="_Hlk114499841"/>
      <w:bookmarkEnd w:id="2"/>
      <w:r>
        <w:rPr>
          <w:i w:val="false"/>
          <w:iCs w:val="false"/>
          <w:color w:val="auto"/>
        </w:rPr>
        <w:t>Notificar os emitentes das garantias quanto ao início de processo administrativo para apuração de descumprimento de cláusulas contratuais.</w:t>
      </w:r>
    </w:p>
    <w:p>
      <w:pPr>
        <w:pStyle w:val="Nivel2"/>
        <w:numPr>
          <w:ilvl w:val="1"/>
          <w:numId w:val="165"/>
        </w:numPr>
        <w:spacing w:lineRule="auto" w:line="312" w:before="120" w:after="288"/>
        <w:ind w:left="0" w:firstLine="567"/>
        <w:rPr/>
      </w:pPr>
      <w:r>
        <w:rPr/>
        <w:t xml:space="preserve">Comunicar o Contratado na hipótese de posterior alteração do projeto pelo Contratante, no caso </w:t>
      </w:r>
      <w:hyperlink r:id="rId10" w:tgtFrame="http://www.planalto.gov.br/ccivil_03/_ato2019-2022/2021/lei/L14133.htm#art93§2">
        <w:r>
          <w:rPr>
            <w:rStyle w:val="LinkdaInternet"/>
          </w:rPr>
          <w:t>do art. 93, §2º, da Lei nº 14.133, de 2021</w:t>
        </w:r>
      </w:hyperlink>
      <w:r>
        <w:rPr/>
        <w:t>.</w:t>
      </w:r>
    </w:p>
    <w:p>
      <w:pPr>
        <w:pStyle w:val="Nivel2"/>
        <w:numPr>
          <w:ilvl w:val="1"/>
          <w:numId w:val="166"/>
        </w:numPr>
        <w:spacing w:lineRule="auto" w:line="312" w:before="120" w:after="288"/>
        <w:ind w:left="0" w:firstLine="567"/>
        <w:rPr/>
      </w:pPr>
      <w: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167"/>
        </w:numPr>
        <w:spacing w:lineRule="auto" w:line="312" w:before="120" w:after="288"/>
        <w:ind w:left="0" w:hanging="0"/>
        <w:rPr>
          <w:color w:val="FFFFFF" w:themeColor="background1"/>
        </w:rPr>
      </w:pPr>
      <w:r>
        <w:rPr/>
        <w:t>CLÁUSULA NONA - OBRIGAÇÕES DO CONTRATADO (</w:t>
      </w:r>
      <w:hyperlink r:id="rId11" w:tgtFrame="http://www.planalto.gov.br/ccivil_03/_ato2019-2022/2021/lei/L14133.htm#art92">
        <w:r>
          <w:rPr>
            <w:rStyle w:val="LinkdaInternet"/>
          </w:rPr>
          <w:t>art. 92, XIV, XVI e XVII</w:t>
        </w:r>
      </w:hyperlink>
      <w:r>
        <w:rPr/>
        <w:t>)</w:t>
      </w:r>
    </w:p>
    <w:p>
      <w:pPr>
        <w:pStyle w:val="Nivel2"/>
        <w:numPr>
          <w:ilvl w:val="1"/>
          <w:numId w:val="168"/>
        </w:numPr>
        <w:spacing w:lineRule="auto" w:line="312" w:before="120" w:after="288"/>
        <w:ind w:left="0" w:firstLine="709"/>
        <w:rPr/>
      </w:pPr>
      <w:r>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169"/>
        </w:numPr>
        <w:spacing w:lineRule="auto" w:line="312" w:before="120" w:after="288"/>
        <w:ind w:left="0" w:firstLine="709"/>
        <w:rPr/>
      </w:pPr>
      <w:r>
        <w:rPr/>
        <w:t>Manter preposto aceito pela Administração no local da obra ou do serviço para representá-lo na execução do contrato.</w:t>
      </w:r>
    </w:p>
    <w:p>
      <w:pPr>
        <w:pStyle w:val="Nivel3"/>
        <w:numPr>
          <w:ilvl w:val="2"/>
          <w:numId w:val="170"/>
        </w:numPr>
        <w:spacing w:lineRule="auto" w:line="312" w:before="120" w:after="288"/>
        <w:ind w:left="170" w:firstLine="709"/>
        <w:rPr/>
      </w:pPr>
      <w:r>
        <w:rPr/>
        <w:t>A indicação ou a manutenção do preposto da empresa poderá ser recusada pelo órgão ou entidade, desde que devidamente justificada, devendo a empresa designar outro para o exercício da atividade.</w:t>
      </w:r>
    </w:p>
    <w:p>
      <w:pPr>
        <w:pStyle w:val="Nivel2"/>
        <w:numPr>
          <w:ilvl w:val="1"/>
          <w:numId w:val="171"/>
        </w:numPr>
        <w:spacing w:lineRule="auto" w:line="312" w:before="120" w:after="288"/>
        <w:ind w:left="0" w:firstLine="567"/>
        <w:rPr/>
      </w:pPr>
      <w:r>
        <w:rPr/>
        <w:t>Atender às determinações regulares emitidas pelo fiscal do contrato ou autoridade superior (</w:t>
      </w:r>
      <w:hyperlink r:id="rId12" w:tgtFrame="http://www.planalto.gov.br/ccivil_03/_ato2019-2022/2021/lei/L14133.htm#art137">
        <w:r>
          <w:rPr>
            <w:rStyle w:val="LinkdaInternet"/>
          </w:rPr>
          <w:t>art. 137, II</w:t>
        </w:r>
      </w:hyperlink>
      <w:r>
        <w:rPr/>
        <w:t>);</w:t>
      </w:r>
    </w:p>
    <w:p>
      <w:pPr>
        <w:pStyle w:val="Nivel2"/>
        <w:numPr>
          <w:ilvl w:val="1"/>
          <w:numId w:val="172"/>
        </w:numPr>
        <w:spacing w:lineRule="auto" w:line="312" w:before="120" w:after="288"/>
        <w:ind w:left="0" w:firstLine="567"/>
        <w:rPr/>
      </w:pPr>
      <w:r>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pPr>
        <w:pStyle w:val="Nivel2"/>
        <w:numPr>
          <w:ilvl w:val="1"/>
          <w:numId w:val="173"/>
        </w:numPr>
        <w:spacing w:lineRule="auto" w:line="312" w:before="120" w:after="288"/>
        <w:ind w:left="0" w:firstLine="567"/>
        <w:rPr/>
      </w:pPr>
      <w:r>
        <w:rPr/>
        <w:t>Reparar, corrigir, remover, reconstruir ou substituir, às suas expensas, no total ou em parte, no prazo fixado pelo fiscal do contrato, os serviços nos quais se verificarem vícios, defeitos ou incorreções resultantes da execução ou dos materiais empregados;</w:t>
      </w:r>
    </w:p>
    <w:p>
      <w:pPr>
        <w:pStyle w:val="Nivel2"/>
        <w:numPr>
          <w:ilvl w:val="1"/>
          <w:numId w:val="174"/>
        </w:numPr>
        <w:spacing w:lineRule="auto" w:line="312" w:before="120" w:after="288"/>
        <w:ind w:left="0" w:firstLine="567"/>
        <w:rPr/>
      </w:pPr>
      <w:r>
        <w:rPr/>
        <w:t xml:space="preserve">Responsabilizar-se pelos vícios e danos decorrentes da execução do objeto, de acordo com o </w:t>
      </w:r>
      <w:hyperlink r:id="rId13" w:tgtFrame="https://www.planalto.gov.br/ccivil_03/leis/l8078compilado.htm">
        <w:r>
          <w:rPr>
            <w:rStyle w:val="LinkdaInternet"/>
          </w:rPr>
          <w:t>Código de Defesa do Consumidor (Lei nº 8.078, de 1990</w:t>
        </w:r>
      </w:hyperlink>
      <w:r>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Nivel2"/>
        <w:numPr>
          <w:ilvl w:val="1"/>
          <w:numId w:val="175"/>
        </w:numPr>
        <w:spacing w:lineRule="auto" w:line="312" w:before="120" w:after="288"/>
        <w:ind w:left="0" w:firstLine="567"/>
        <w:rPr/>
      </w:pPr>
      <w:r>
        <w:rPr/>
        <w:t xml:space="preserve">Não contratar, durante a vigência do contrato, cônjuge, companheiro ou parente em linha reta, colateral ou por afinidade, até o terceiro grau, de dirigente do contratante ou do fiscal ou gestor do contrato, nos termos do </w:t>
      </w:r>
      <w:hyperlink r:id="rId14" w:tgtFrame="http://www.planalto.gov.br/ccivil_03/_ato2019-2022/2021/lei/L14133.htm#art48">
        <w:r>
          <w:rPr>
            <w:rStyle w:val="LinkdaInternet"/>
          </w:rPr>
          <w:t>artigo 48, parágrafo único, da Lei nº 14.133, de 2021</w:t>
        </w:r>
      </w:hyperlink>
      <w:r>
        <w:rPr/>
        <w:t>;</w:t>
      </w:r>
    </w:p>
    <w:p>
      <w:pPr>
        <w:pStyle w:val="Nivel2"/>
        <w:numPr>
          <w:ilvl w:val="1"/>
          <w:numId w:val="176"/>
        </w:numPr>
        <w:spacing w:lineRule="auto" w:line="312" w:before="120" w:after="288"/>
        <w:ind w:left="0" w:firstLine="567"/>
        <w:rPr/>
      </w:pPr>
      <w:r>
        <w:rPr>
          <w:color w:val="000000" w:themeColor="text1"/>
        </w:rPr>
        <w:t xml:space="preserve">Quando não for possível a verificação da regularidade no Sistema de Cadastro </w:t>
      </w:r>
      <w:r>
        <w:rPr/>
        <w:t xml:space="preserve">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Nivel2"/>
        <w:numPr>
          <w:ilvl w:val="1"/>
          <w:numId w:val="177"/>
        </w:numPr>
        <w:spacing w:lineRule="auto" w:line="312" w:before="120" w:after="288"/>
        <w:ind w:left="0" w:firstLine="567"/>
        <w:rPr/>
      </w:pPr>
      <w:r>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Nivel2"/>
        <w:numPr>
          <w:ilvl w:val="1"/>
          <w:numId w:val="178"/>
        </w:numPr>
        <w:spacing w:lineRule="auto" w:line="312" w:before="120" w:after="288"/>
        <w:ind w:left="0" w:firstLine="567"/>
        <w:rPr/>
      </w:pPr>
      <w:r>
        <w:rPr/>
        <w:t>Comunicar ao Fiscal do contrato, no prazo de 24 (vinte e quatro) horas, qualquer ocorrência anormal ou acidente que se verifique no local dos serviços.</w:t>
      </w:r>
    </w:p>
    <w:p>
      <w:pPr>
        <w:pStyle w:val="Nivel2"/>
        <w:numPr>
          <w:ilvl w:val="1"/>
          <w:numId w:val="179"/>
        </w:numPr>
        <w:spacing w:lineRule="auto" w:line="312" w:before="120" w:after="288"/>
        <w:ind w:left="0" w:firstLine="567"/>
        <w:rPr/>
      </w:pPr>
      <w:r>
        <w:rPr/>
        <w:t>Prestar todo esclarecimento ou informação solicitada pelo Contratante ou por seus prepostos, garantindo-lhes o acesso, a qualquer tempo, ao local dos trabalhos, bem como aos documentos relativos à execução do empreendimento.</w:t>
      </w:r>
    </w:p>
    <w:p>
      <w:pPr>
        <w:pStyle w:val="Nivel2"/>
        <w:numPr>
          <w:ilvl w:val="1"/>
          <w:numId w:val="180"/>
        </w:numPr>
        <w:spacing w:lineRule="auto" w:line="312" w:before="120" w:after="288"/>
        <w:ind w:left="0" w:firstLine="567"/>
        <w:rPr/>
      </w:pPr>
      <w:r>
        <w:rPr/>
        <w:t>Paralisar, por determinação do Contratante, qualquer atividade que não esteja sendo executada de acordo com a boa técnica ou que ponha em risco a segurança de pessoas ou bens de terceiros.</w:t>
      </w:r>
    </w:p>
    <w:p>
      <w:pPr>
        <w:pStyle w:val="Nivel2"/>
        <w:numPr>
          <w:ilvl w:val="1"/>
          <w:numId w:val="181"/>
        </w:numPr>
        <w:spacing w:lineRule="auto" w:line="312" w:before="120" w:after="288"/>
        <w:ind w:left="0" w:firstLine="567"/>
        <w:rPr/>
      </w:pPr>
      <w:r>
        <w:rPr/>
        <w:t>Promover a guarda, manutenção e vigilância de materiais, ferramentas, e tudo o que for necessário à execução do objeto, durante a vigência do contrato.</w:t>
      </w:r>
    </w:p>
    <w:p>
      <w:pPr>
        <w:pStyle w:val="Nivel2"/>
        <w:numPr>
          <w:ilvl w:val="1"/>
          <w:numId w:val="182"/>
        </w:numPr>
        <w:spacing w:lineRule="auto" w:line="312" w:before="120" w:after="288"/>
        <w:ind w:left="0" w:firstLine="567"/>
        <w:rPr/>
      </w:pPr>
      <w:r>
        <w:rPr/>
        <w:t>Conduzir os trabalhos com estrita observância às normas da legislação pertinente, cumprindo as determinações dos Poderes Públicos, mantendo sempre limpo o local dos serviços e nas melhores condições de segurança, higiene e disciplina.</w:t>
      </w:r>
    </w:p>
    <w:p>
      <w:pPr>
        <w:pStyle w:val="Nivel2"/>
        <w:numPr>
          <w:ilvl w:val="1"/>
          <w:numId w:val="183"/>
        </w:numPr>
        <w:spacing w:lineRule="auto" w:line="312" w:before="120" w:after="288"/>
        <w:ind w:left="0" w:firstLine="567"/>
        <w:rPr/>
      </w:pPr>
      <w:r>
        <w:rPr/>
        <w:t>Submeter previamente, por escrito, ao Contratante, para análise e aprovação, quaisquer mudanças nos métodos executivos que fujam às especificações do memorial descritivo ou instrumento congênere.</w:t>
      </w:r>
    </w:p>
    <w:p>
      <w:pPr>
        <w:pStyle w:val="Nivel2"/>
        <w:numPr>
          <w:ilvl w:val="1"/>
          <w:numId w:val="184"/>
        </w:numPr>
        <w:spacing w:lineRule="auto" w:line="312" w:before="120" w:after="288"/>
        <w:ind w:left="0" w:firstLine="567"/>
        <w:rPr/>
      </w:pPr>
      <w:r>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Nivel2"/>
        <w:numPr>
          <w:ilvl w:val="1"/>
          <w:numId w:val="185"/>
        </w:numPr>
        <w:spacing w:lineRule="auto" w:line="312" w:before="120" w:after="288"/>
        <w:ind w:left="0" w:firstLine="567"/>
        <w:rPr/>
      </w:pPr>
      <w:r>
        <w:rPr/>
        <w:t xml:space="preserve"> </w:t>
      </w:r>
      <w:r>
        <w:rPr/>
        <w:t xml:space="preserve">Manter durante toda a vigência do contrato, em compatibilidade com as obrigações assumidas, todas as condições exigidas para habilitação na licitação; </w:t>
      </w:r>
    </w:p>
    <w:p>
      <w:pPr>
        <w:pStyle w:val="Nivel2"/>
        <w:numPr>
          <w:ilvl w:val="1"/>
          <w:numId w:val="186"/>
        </w:numPr>
        <w:spacing w:lineRule="auto" w:line="312" w:before="120" w:after="288"/>
        <w:ind w:left="0" w:firstLine="567"/>
        <w:rPr>
          <w:b/>
          <w:b/>
          <w:bCs/>
        </w:rPr>
      </w:pPr>
      <w:r>
        <w:rPr/>
        <w:t>Cumprir, durante todo o período de execução do contrato, a reserva de cargos prevista em lei para pessoa com deficiência, para reabilitado da Previdência Social ou para aprendiz, bem como as reservas de cargos previstas na legislação (</w:t>
      </w:r>
      <w:hyperlink r:id="rId15" w:tgtFrame="http://www.planalto.gov.br/ccivil_03/_ato2019-2022/2021/lei/L14133.htm#art116">
        <w:r>
          <w:rPr>
            <w:rStyle w:val="LinkdaInternet"/>
          </w:rPr>
          <w:t>art. 116</w:t>
        </w:r>
      </w:hyperlink>
      <w:r>
        <w:rPr/>
        <w:t>);</w:t>
      </w:r>
    </w:p>
    <w:p>
      <w:pPr>
        <w:pStyle w:val="Nivel2"/>
        <w:numPr>
          <w:ilvl w:val="1"/>
          <w:numId w:val="187"/>
        </w:numPr>
        <w:spacing w:lineRule="auto" w:line="312" w:before="120" w:after="288"/>
        <w:ind w:left="0" w:firstLine="567"/>
        <w:rPr/>
      </w:pPr>
      <w:r>
        <w:rPr/>
        <w:t>Comprovar a reserva de cargos a que se refere a cláusula acima, no prazo fixado pelo fiscal do contrato, com a indicação dos empregados que preencheram as referidas vagas (</w:t>
      </w:r>
      <w:hyperlink r:id="rId16" w:tgtFrame="http://www.planalto.gov.br/ccivil_03/_ato2019-2022/2021/lei/L14133.htm#art116">
        <w:r>
          <w:rPr>
            <w:rStyle w:val="LinkdaInternet"/>
          </w:rPr>
          <w:t>art. 116, parágrafo único</w:t>
        </w:r>
      </w:hyperlink>
      <w:r>
        <w:rPr/>
        <w:t>);</w:t>
      </w:r>
    </w:p>
    <w:p>
      <w:pPr>
        <w:pStyle w:val="Nivel2"/>
        <w:numPr>
          <w:ilvl w:val="1"/>
          <w:numId w:val="188"/>
        </w:numPr>
        <w:spacing w:lineRule="auto" w:line="312" w:before="120" w:after="288"/>
        <w:ind w:left="0" w:firstLine="567"/>
        <w:rPr/>
      </w:pPr>
      <w:r>
        <w:rPr/>
        <w:t>Guardar sigilo sobre todas as informações obtidas em decorrência do cumprimento do contrato;</w:t>
      </w:r>
    </w:p>
    <w:p>
      <w:pPr>
        <w:pStyle w:val="Nivel2"/>
        <w:numPr>
          <w:ilvl w:val="1"/>
          <w:numId w:val="189"/>
        </w:numPr>
        <w:spacing w:lineRule="auto" w:line="312" w:before="120" w:after="288"/>
        <w:ind w:left="0" w:firstLine="567"/>
        <w:rPr/>
      </w:pPr>
      <w: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7" w:tgtFrame="http://www.planalto.gov.br/ccivil_03/_ato2019-2022/2021/lei/L14133.htm#art124">
        <w:r>
          <w:rPr>
            <w:rStyle w:val="LinkdaInternet"/>
          </w:rPr>
          <w:t>art. 124, II, d, da Lei nº 14.133, de 2021</w:t>
        </w:r>
      </w:hyperlink>
      <w:r>
        <w:rPr/>
        <w:t>;</w:t>
      </w:r>
    </w:p>
    <w:p>
      <w:pPr>
        <w:pStyle w:val="Nivel2"/>
        <w:numPr>
          <w:ilvl w:val="1"/>
          <w:numId w:val="190"/>
        </w:numPr>
        <w:spacing w:lineRule="auto" w:line="312" w:before="120" w:after="288"/>
        <w:ind w:left="0" w:firstLine="567"/>
        <w:rPr/>
      </w:pPr>
      <w:r>
        <w:rPr/>
        <w:t>Cumprir, além dos postulados legais vigentes de âmbito federal, estadual ou municipal, as normas de segurança do Contratante;</w:t>
      </w:r>
    </w:p>
    <w:p>
      <w:pPr>
        <w:pStyle w:val="Nivel01"/>
        <w:numPr>
          <w:ilvl w:val="0"/>
          <w:numId w:val="191"/>
        </w:numPr>
        <w:spacing w:lineRule="auto" w:line="312" w:before="120" w:after="288"/>
        <w:ind w:left="0" w:hanging="0"/>
        <w:rPr>
          <w:color w:val="FFFFFF" w:themeColor="background1"/>
        </w:rPr>
      </w:pPr>
      <w:r>
        <w:rPr/>
        <w:t>CLÁUSULA DÉCIMA PRIMEIRA – GARANTIA DE EXECUÇÃO (</w:t>
      </w:r>
      <w:hyperlink r:id="rId18" w:tgtFrame="http://www.planalto.gov.br/ccivil_03/_ato2019-2022/2021/lei/L14133.htm#art92">
        <w:r>
          <w:rPr>
            <w:rStyle w:val="LinkdaInternet"/>
          </w:rPr>
          <w:t>art. 92, XII e XIII</w:t>
        </w:r>
      </w:hyperlink>
      <w:r>
        <w:rPr/>
        <w:t>)</w:t>
      </w:r>
    </w:p>
    <w:p>
      <w:pPr>
        <w:pStyle w:val="Nivel2"/>
        <w:numPr>
          <w:ilvl w:val="1"/>
          <w:numId w:val="192"/>
        </w:numPr>
        <w:spacing w:lineRule="auto" w:line="312" w:before="120" w:after="288"/>
        <w:ind w:left="0" w:firstLine="567"/>
        <w:rPr>
          <w:iCs/>
          <w:color w:val="auto"/>
        </w:rPr>
      </w:pPr>
      <w:r>
        <w:rPr>
          <w:iCs/>
          <w:color w:val="auto"/>
        </w:rPr>
        <w:t>Não haverá exigência de garantia contratual da execução.</w:t>
      </w:r>
    </w:p>
    <w:p>
      <w:pPr>
        <w:pStyle w:val="Nivel01"/>
        <w:numPr>
          <w:ilvl w:val="0"/>
          <w:numId w:val="193"/>
        </w:numPr>
        <w:spacing w:lineRule="auto" w:line="312" w:before="120" w:after="288"/>
        <w:ind w:left="0" w:hanging="0"/>
        <w:rPr>
          <w:color w:val="FFFFFF" w:themeColor="background1"/>
        </w:rPr>
      </w:pPr>
      <w:r>
        <w:rPr/>
        <w:t>CLÁUSULA DÉCIMA SEGUNDA – INFRAÇÕES E SANÇÕES ADMINISTRATIVAS (</w:t>
      </w:r>
      <w:hyperlink r:id="rId19" w:tgtFrame="http://www.planalto.gov.br/ccivil_03/_ato2019-2022/2021/lei/L14133.htm#art92">
        <w:r>
          <w:rPr>
            <w:rStyle w:val="LinkdaInternet"/>
          </w:rPr>
          <w:t>art. 92, XIV</w:t>
        </w:r>
      </w:hyperlink>
      <w:r>
        <w:rPr/>
        <w:t>)</w:t>
      </w:r>
    </w:p>
    <w:p>
      <w:pPr>
        <w:pStyle w:val="Nivel2"/>
        <w:numPr>
          <w:ilvl w:val="1"/>
          <w:numId w:val="194"/>
        </w:numPr>
        <w:spacing w:lineRule="auto" w:line="312" w:before="120" w:after="288"/>
        <w:ind w:left="0" w:firstLine="567"/>
        <w:rPr/>
      </w:pPr>
      <w:r>
        <w:rPr/>
        <w:t xml:space="preserve">Comete infração administrativa, nos termos da </w:t>
      </w:r>
      <w:hyperlink r:id="rId20" w:tgtFrame="http://www.planalto.gov.br/ccivil_03/_ato2019-2022/2021/lei/L14133.htm">
        <w:r>
          <w:rPr>
            <w:rStyle w:val="LinkdaInternet"/>
          </w:rPr>
          <w:t>Lei nº 14.133, de 2021</w:t>
        </w:r>
      </w:hyperlink>
      <w:r>
        <w:rPr/>
        <w:t>, o contratado que:</w:t>
      </w:r>
    </w:p>
    <w:p>
      <w:pPr>
        <w:pStyle w:val="Normal"/>
        <w:numPr>
          <w:ilvl w:val="2"/>
          <w:numId w:val="6"/>
        </w:numPr>
        <w:spacing w:before="120" w:after="288"/>
        <w:ind w:left="924" w:firstLine="851"/>
        <w:jc w:val="both"/>
        <w:rPr>
          <w:rFonts w:ascii="Arial" w:hAnsi="Arial" w:eastAsia="Arial" w:cs="Arial"/>
          <w:sz w:val="20"/>
          <w:szCs w:val="20"/>
        </w:rPr>
      </w:pPr>
      <w:r>
        <w:rPr>
          <w:rFonts w:eastAsia="Arial" w:cs="Arial" w:ascii="Arial" w:hAnsi="Arial"/>
          <w:sz w:val="20"/>
          <w:szCs w:val="20"/>
        </w:rPr>
        <w:t>der causa à inexecução parcial do contrato;</w:t>
      </w:r>
    </w:p>
    <w:p>
      <w:pPr>
        <w:pStyle w:val="Normal"/>
        <w:numPr>
          <w:ilvl w:val="2"/>
          <w:numId w:val="6"/>
        </w:numPr>
        <w:spacing w:before="120" w:after="288"/>
        <w:ind w:left="924" w:firstLine="851"/>
        <w:jc w:val="both"/>
        <w:rPr>
          <w:rFonts w:ascii="Arial" w:hAnsi="Arial" w:eastAsia="Arial" w:cs="Arial"/>
          <w:sz w:val="20"/>
          <w:szCs w:val="20"/>
        </w:rPr>
      </w:pPr>
      <w:r>
        <w:rPr>
          <w:rFonts w:eastAsia="Arial" w:cs="Arial" w:ascii="Arial" w:hAnsi="Arial"/>
          <w:sz w:val="20"/>
          <w:szCs w:val="20"/>
        </w:rPr>
        <w:t>der causa à inexecução parcial do contrato que cause grave dano à Administração ou ao funcionamento dos serviços públicos ou ao interesse coletivo;</w:t>
      </w:r>
    </w:p>
    <w:p>
      <w:pPr>
        <w:pStyle w:val="Normal"/>
        <w:numPr>
          <w:ilvl w:val="2"/>
          <w:numId w:val="6"/>
        </w:numPr>
        <w:spacing w:before="120" w:after="288"/>
        <w:ind w:left="924" w:firstLine="851"/>
        <w:jc w:val="both"/>
        <w:rPr>
          <w:rFonts w:ascii="Arial" w:hAnsi="Arial" w:eastAsia="Arial" w:cs="Arial"/>
          <w:sz w:val="20"/>
          <w:szCs w:val="20"/>
        </w:rPr>
      </w:pPr>
      <w:r>
        <w:rPr>
          <w:rFonts w:eastAsia="Arial" w:cs="Arial" w:ascii="Arial" w:hAnsi="Arial"/>
          <w:sz w:val="20"/>
          <w:szCs w:val="20"/>
        </w:rPr>
        <w:t>der causa à inexecução total do contrato;</w:t>
      </w:r>
    </w:p>
    <w:p>
      <w:pPr>
        <w:pStyle w:val="Normal"/>
        <w:numPr>
          <w:ilvl w:val="2"/>
          <w:numId w:val="6"/>
        </w:numPr>
        <w:spacing w:before="120" w:after="288"/>
        <w:ind w:left="924" w:firstLine="851"/>
        <w:jc w:val="both"/>
        <w:rPr>
          <w:rFonts w:ascii="Arial" w:hAnsi="Arial" w:eastAsia="Arial" w:cs="Arial"/>
          <w:sz w:val="20"/>
          <w:szCs w:val="20"/>
        </w:rPr>
      </w:pPr>
      <w:r>
        <w:rPr>
          <w:rFonts w:eastAsia="Arial" w:cs="Arial" w:ascii="Arial" w:hAnsi="Arial"/>
          <w:sz w:val="20"/>
          <w:szCs w:val="20"/>
        </w:rPr>
        <w:t>ensejar o retardamento da execução ou da entrega do objeto da contratação sem motivo justificado;</w:t>
      </w:r>
    </w:p>
    <w:p>
      <w:pPr>
        <w:pStyle w:val="Normal"/>
        <w:numPr>
          <w:ilvl w:val="2"/>
          <w:numId w:val="6"/>
        </w:numPr>
        <w:spacing w:before="120" w:after="288"/>
        <w:ind w:left="924" w:firstLine="851"/>
        <w:jc w:val="both"/>
        <w:rPr>
          <w:rFonts w:ascii="Arial" w:hAnsi="Arial" w:eastAsia="Arial" w:cs="Arial"/>
          <w:sz w:val="20"/>
          <w:szCs w:val="20"/>
        </w:rPr>
      </w:pPr>
      <w:r>
        <w:rPr>
          <w:rFonts w:eastAsia="Arial" w:cs="Arial" w:ascii="Arial" w:hAnsi="Arial"/>
          <w:sz w:val="20"/>
          <w:szCs w:val="20"/>
        </w:rPr>
        <w:t>apresentar documentação falsa ou prestar declaração falsa durante a execução do contrato;</w:t>
      </w:r>
    </w:p>
    <w:p>
      <w:pPr>
        <w:pStyle w:val="Normal"/>
        <w:numPr>
          <w:ilvl w:val="2"/>
          <w:numId w:val="6"/>
        </w:numPr>
        <w:spacing w:before="120" w:after="288"/>
        <w:ind w:left="924" w:firstLine="851"/>
        <w:jc w:val="both"/>
        <w:rPr>
          <w:rFonts w:ascii="Arial" w:hAnsi="Arial" w:eastAsia="Arial" w:cs="Arial"/>
          <w:sz w:val="20"/>
          <w:szCs w:val="20"/>
        </w:rPr>
      </w:pPr>
      <w:r>
        <w:rPr>
          <w:rFonts w:eastAsia="Arial" w:cs="Arial" w:ascii="Arial" w:hAnsi="Arial"/>
          <w:sz w:val="20"/>
          <w:szCs w:val="20"/>
        </w:rPr>
        <w:t>praticar ato fraudulento na execução do contrato;</w:t>
      </w:r>
    </w:p>
    <w:p>
      <w:pPr>
        <w:pStyle w:val="Normal"/>
        <w:numPr>
          <w:ilvl w:val="2"/>
          <w:numId w:val="6"/>
        </w:numPr>
        <w:spacing w:before="120" w:after="288"/>
        <w:ind w:left="924" w:firstLine="851"/>
        <w:jc w:val="both"/>
        <w:rPr>
          <w:rFonts w:ascii="Arial" w:hAnsi="Arial" w:eastAsia="Arial" w:cs="Arial"/>
          <w:sz w:val="20"/>
          <w:szCs w:val="20"/>
        </w:rPr>
      </w:pPr>
      <w:r>
        <w:rPr>
          <w:rFonts w:eastAsia="Arial" w:cs="Arial" w:ascii="Arial" w:hAnsi="Arial"/>
          <w:sz w:val="20"/>
          <w:szCs w:val="20"/>
        </w:rPr>
        <w:t>comportar-se de modo inidôneo ou cometer fraude de qualquer natureza;</w:t>
      </w:r>
    </w:p>
    <w:p>
      <w:pPr>
        <w:pStyle w:val="Normal"/>
        <w:numPr>
          <w:ilvl w:val="2"/>
          <w:numId w:val="6"/>
        </w:numPr>
        <w:spacing w:before="120" w:after="288"/>
        <w:ind w:left="924" w:firstLine="851"/>
        <w:jc w:val="both"/>
        <w:rPr>
          <w:rFonts w:ascii="Arial" w:hAnsi="Arial" w:eastAsia="Arial" w:cs="Arial"/>
          <w:sz w:val="20"/>
          <w:szCs w:val="20"/>
        </w:rPr>
      </w:pPr>
      <w:r>
        <w:rPr>
          <w:rFonts w:eastAsia="Arial" w:cs="Arial" w:ascii="Arial" w:hAnsi="Arial"/>
          <w:sz w:val="20"/>
          <w:szCs w:val="20"/>
        </w:rPr>
        <w:t>praticar ato lesivo previsto no art. 5º da Lei nº 12.846, de 1º de agosto de 2013.</w:t>
      </w:r>
    </w:p>
    <w:p>
      <w:pPr>
        <w:pStyle w:val="Nivel2"/>
        <w:numPr>
          <w:ilvl w:val="1"/>
          <w:numId w:val="195"/>
        </w:numPr>
        <w:spacing w:lineRule="auto" w:line="312" w:before="120" w:after="288"/>
        <w:ind w:left="0" w:firstLine="567"/>
        <w:rPr/>
      </w:pPr>
      <w:r>
        <w:rPr/>
        <w:t>Serão aplicadas ao contratado que incorrer nas infrações acima descritas as seguintes sanções:</w:t>
      </w:r>
    </w:p>
    <w:p>
      <w:pPr>
        <w:pStyle w:val="Normal"/>
        <w:numPr>
          <w:ilvl w:val="2"/>
          <w:numId w:val="7"/>
        </w:numPr>
        <w:spacing w:lineRule="auto" w:line="312" w:before="120" w:after="288"/>
        <w:ind w:left="924" w:firstLine="851"/>
        <w:contextualSpacing/>
        <w:jc w:val="both"/>
        <w:rPr>
          <w:rFonts w:ascii="Arial" w:hAnsi="Arial" w:eastAsia="Arial" w:cs="Arial"/>
          <w:sz w:val="20"/>
          <w:szCs w:val="20"/>
        </w:rPr>
      </w:pPr>
      <w:r>
        <w:rPr>
          <w:rFonts w:eastAsia="Arial" w:cs="Arial" w:ascii="Arial" w:hAnsi="Arial"/>
          <w:b/>
          <w:bCs/>
          <w:sz w:val="20"/>
          <w:szCs w:val="20"/>
        </w:rPr>
        <w:t>Advertência</w:t>
      </w:r>
      <w:r>
        <w:rPr>
          <w:rFonts w:eastAsia="Arial" w:cs="Arial" w:ascii="Arial" w:hAnsi="Arial"/>
          <w:sz w:val="20"/>
          <w:szCs w:val="20"/>
        </w:rPr>
        <w:t>, quando o contratado der causa à inexecução parcial do contrato, sempre que não se justificar a imposição de penalidade mais grave (</w:t>
      </w:r>
      <w:hyperlink r:id="rId21" w:tgtFrame="http://www.planalto.gov.br/ccivil_03/_ato2019-2022/2021/lei/L14133.htm#art156§2">
        <w:r>
          <w:rPr>
            <w:rStyle w:val="LinkdaInternet"/>
            <w:rFonts w:eastAsia="Arial" w:cs="Arial" w:ascii="Arial" w:hAnsi="Arial"/>
            <w:sz w:val="20"/>
            <w:szCs w:val="20"/>
          </w:rPr>
          <w:t xml:space="preserve">art. 156, §2º, da </w:t>
        </w:r>
        <w:bookmarkStart w:id="3" w:name="_Hlk114504069"/>
        <w:r>
          <w:rPr>
            <w:rStyle w:val="LinkdaInternet"/>
            <w:rFonts w:eastAsia="Arial" w:cs="Arial" w:ascii="Arial" w:hAnsi="Arial"/>
            <w:sz w:val="20"/>
            <w:szCs w:val="20"/>
          </w:rPr>
          <w:t>Lei nº 14.133, de 2021</w:t>
        </w:r>
      </w:hyperlink>
      <w:bookmarkEnd w:id="3"/>
      <w:r>
        <w:rPr>
          <w:rFonts w:eastAsia="Arial" w:cs="Arial" w:ascii="Arial" w:hAnsi="Arial"/>
          <w:sz w:val="20"/>
          <w:szCs w:val="20"/>
        </w:rPr>
        <w:t>);</w:t>
      </w:r>
    </w:p>
    <w:p>
      <w:pPr>
        <w:pStyle w:val="Normal"/>
        <w:numPr>
          <w:ilvl w:val="2"/>
          <w:numId w:val="7"/>
        </w:numPr>
        <w:spacing w:lineRule="auto" w:line="312" w:before="120" w:after="288"/>
        <w:ind w:left="924" w:firstLine="851"/>
        <w:contextualSpacing/>
        <w:jc w:val="both"/>
        <w:rPr>
          <w:rFonts w:ascii="Arial" w:hAnsi="Arial" w:eastAsia="Arial" w:cs="Arial"/>
          <w:sz w:val="20"/>
          <w:szCs w:val="20"/>
        </w:rPr>
      </w:pPr>
      <w:r>
        <w:rPr>
          <w:rFonts w:eastAsia="Arial" w:cs="Arial" w:ascii="Arial" w:hAnsi="Arial"/>
          <w:b/>
          <w:bCs/>
          <w:sz w:val="20"/>
          <w:szCs w:val="20"/>
        </w:rPr>
        <w:t>Impedimento de licitar e contratar</w:t>
      </w:r>
      <w:r>
        <w:rPr>
          <w:rFonts w:eastAsia="Arial" w:cs="Arial" w:ascii="Arial" w:hAnsi="Arial"/>
          <w:sz w:val="20"/>
          <w:szCs w:val="20"/>
        </w:rPr>
        <w:t>, quando praticadas as condutas descritas nas alíneas “b”, “c” e “d” do subitem acima deste Contrato, sempre que não se justificar a imposição de penalidade mais grave (</w:t>
      </w:r>
      <w:hyperlink r:id="rId22" w:tgtFrame="http://www.planalto.gov.br/ccivil_03/_ato2019-2022/2021/lei/L14133.htm#art156§4">
        <w:r>
          <w:rPr>
            <w:rStyle w:val="LinkdaInternet"/>
            <w:rFonts w:eastAsia="Arial" w:cs="Arial" w:ascii="Arial" w:hAnsi="Arial"/>
            <w:sz w:val="20"/>
            <w:szCs w:val="20"/>
          </w:rPr>
          <w:t>art. 156, § 4º, da Lei nº 14.133, de 2021</w:t>
        </w:r>
      </w:hyperlink>
      <w:r>
        <w:rPr>
          <w:rFonts w:eastAsia="Arial" w:cs="Arial" w:ascii="Arial" w:hAnsi="Arial"/>
          <w:sz w:val="20"/>
          <w:szCs w:val="20"/>
        </w:rPr>
        <w:t>);</w:t>
      </w:r>
    </w:p>
    <w:p>
      <w:pPr>
        <w:pStyle w:val="Normal"/>
        <w:numPr>
          <w:ilvl w:val="2"/>
          <w:numId w:val="7"/>
        </w:numPr>
        <w:spacing w:lineRule="auto" w:line="312" w:before="120" w:after="288"/>
        <w:ind w:left="924" w:firstLine="851"/>
        <w:contextualSpacing/>
        <w:jc w:val="both"/>
        <w:rPr>
          <w:rFonts w:ascii="Arial" w:hAnsi="Arial" w:eastAsia="Arial" w:cs="Arial"/>
          <w:sz w:val="20"/>
          <w:szCs w:val="20"/>
        </w:rPr>
      </w:pPr>
      <w:r>
        <w:rPr>
          <w:rFonts w:eastAsia="Arial" w:cs="Arial" w:ascii="Arial" w:hAnsi="Arial"/>
          <w:b/>
          <w:bCs/>
          <w:sz w:val="20"/>
          <w:szCs w:val="20"/>
        </w:rPr>
        <w:t>Declaração de inidoneidade para licitar e contratar</w:t>
      </w:r>
      <w:r>
        <w:rPr>
          <w:rFonts w:eastAsia="Arial" w:cs="Arial" w:ascii="Arial" w:hAnsi="Arial"/>
          <w:sz w:val="20"/>
          <w:szCs w:val="20"/>
        </w:rPr>
        <w:t>, quando praticadas as condutas descritas nas alíneas “e”, “f”, “g” e “h” do subitem acima deste Contrato, bem como nas alíneas “b”, “c” e “d”, que justifiquem a imposição de penalidade mais grave (</w:t>
      </w:r>
      <w:hyperlink r:id="rId23" w:tgtFrame="http://www.planalto.gov.br/ccivil_03/_ato2019-2022/2021/lei/L14133.htm#art156§5">
        <w:r>
          <w:rPr>
            <w:rStyle w:val="LinkdaInternet"/>
            <w:rFonts w:eastAsia="Arial" w:cs="Arial" w:ascii="Arial" w:hAnsi="Arial"/>
            <w:sz w:val="20"/>
            <w:szCs w:val="20"/>
          </w:rPr>
          <w:t>art. 156, §5º, da Lei nº 14.133, de 2021</w:t>
        </w:r>
      </w:hyperlink>
      <w:r>
        <w:rPr>
          <w:rFonts w:eastAsia="Arial" w:cs="Arial" w:ascii="Arial" w:hAnsi="Arial"/>
          <w:sz w:val="20"/>
          <w:szCs w:val="20"/>
        </w:rPr>
        <w:t>).</w:t>
      </w:r>
    </w:p>
    <w:p>
      <w:pPr>
        <w:pStyle w:val="Normal"/>
        <w:numPr>
          <w:ilvl w:val="2"/>
          <w:numId w:val="7"/>
        </w:numPr>
        <w:spacing w:lineRule="auto" w:line="312" w:before="120" w:after="288"/>
        <w:ind w:left="924" w:firstLine="851"/>
        <w:contextualSpacing/>
        <w:jc w:val="both"/>
        <w:rPr>
          <w:rFonts w:ascii="Arial" w:hAnsi="Arial" w:eastAsia="Arial" w:cs="Arial"/>
          <w:sz w:val="20"/>
          <w:szCs w:val="20"/>
        </w:rPr>
      </w:pPr>
      <w:r>
        <w:rPr>
          <w:rFonts w:eastAsia="Arial" w:cs="Arial" w:ascii="Arial" w:hAnsi="Arial"/>
          <w:b/>
          <w:bCs/>
          <w:sz w:val="20"/>
          <w:szCs w:val="20"/>
        </w:rPr>
        <w:t>Multa:</w:t>
      </w:r>
    </w:p>
    <w:p>
      <w:pPr>
        <w:pStyle w:val="Normal"/>
        <w:numPr>
          <w:ilvl w:val="3"/>
          <w:numId w:val="7"/>
        </w:numPr>
        <w:spacing w:lineRule="auto" w:line="312" w:before="120" w:after="288"/>
        <w:ind w:left="1843" w:firstLine="284"/>
        <w:contextualSpacing/>
        <w:jc w:val="both"/>
        <w:rPr>
          <w:rFonts w:ascii="Arial" w:hAnsi="Arial" w:eastAsia="Arial" w:cs="Arial"/>
          <w:sz w:val="20"/>
          <w:szCs w:val="20"/>
        </w:rPr>
      </w:pPr>
      <w:r>
        <w:rPr>
          <w:rFonts w:eastAsia="Arial" w:cs="Arial" w:ascii="Arial" w:hAnsi="Arial"/>
          <w:sz w:val="20"/>
          <w:szCs w:val="20"/>
        </w:rPr>
        <w:t>moratória de  1 % (um por cento) por dia de atraso injustificado sobre o valor da parcela inadimplida, até o limite de 30 (trinta) dias;</w:t>
      </w:r>
    </w:p>
    <w:p>
      <w:pPr>
        <w:pStyle w:val="Normal"/>
        <w:numPr>
          <w:ilvl w:val="3"/>
          <w:numId w:val="7"/>
        </w:numPr>
        <w:spacing w:lineRule="auto" w:line="312" w:before="120" w:after="288"/>
        <w:ind w:left="1843" w:firstLine="284"/>
        <w:contextualSpacing/>
        <w:jc w:val="both"/>
        <w:rPr>
          <w:rFonts w:ascii="Arial" w:hAnsi="Arial" w:eastAsia="Arial" w:cs="Arial"/>
          <w:sz w:val="20"/>
          <w:szCs w:val="20"/>
        </w:rPr>
      </w:pPr>
      <w:r>
        <w:rPr>
          <w:rFonts w:eastAsia="Arial" w:cs="Arial" w:ascii="Arial" w:hAnsi="Arial"/>
          <w:sz w:val="20"/>
          <w:szCs w:val="20"/>
        </w:rPr>
        <w:t>compensatória de 10 % (dez por cento) sobre o valor total do contrato, no caso de inexecução total do objeto;</w:t>
      </w:r>
    </w:p>
    <w:p>
      <w:pPr>
        <w:pStyle w:val="Nivel2"/>
        <w:numPr>
          <w:ilvl w:val="1"/>
          <w:numId w:val="196"/>
        </w:numPr>
        <w:spacing w:lineRule="auto" w:line="312" w:before="120" w:after="288"/>
        <w:ind w:left="0" w:firstLine="709"/>
        <w:rPr/>
      </w:pPr>
      <w:r>
        <w:rPr/>
        <w:t>A aplicação das sanções previstas neste Contrato não exclui, em hipótese alguma, a obrigação de reparação integral do dano causado ao Contratante (</w:t>
      </w:r>
      <w:hyperlink r:id="rId24" w:tgtFrame="http://www.planalto.gov.br/ccivil_03/_ato2019-2022/2021/lei/L14133.htm#art156§9">
        <w:r>
          <w:rPr>
            <w:rStyle w:val="LinkdaInternet"/>
          </w:rPr>
          <w:t>art. 156, §9º, da Lei nº 14.133, de 2021</w:t>
        </w:r>
      </w:hyperlink>
      <w:r>
        <w:rPr/>
        <w:t>)</w:t>
      </w:r>
    </w:p>
    <w:p>
      <w:pPr>
        <w:pStyle w:val="Nivel2"/>
        <w:numPr>
          <w:ilvl w:val="1"/>
          <w:numId w:val="197"/>
        </w:numPr>
        <w:spacing w:lineRule="auto" w:line="312" w:before="120" w:after="288"/>
        <w:ind w:left="0" w:firstLine="709"/>
        <w:rPr/>
      </w:pPr>
      <w:r>
        <w:rPr/>
        <w:t>Todas as sanções previstas neste Contrato poderão ser aplicadas cumulativamente com a multa (</w:t>
      </w:r>
      <w:hyperlink r:id="rId25" w:tgtFrame="http://www.planalto.gov.br/ccivil_03/_ato2019-2022/2021/lei/L14133.htm#art156§7">
        <w:r>
          <w:rPr>
            <w:rStyle w:val="LinkdaInternet"/>
          </w:rPr>
          <w:t>art. 156, §7º, da Lei nº 14.133, de 2021</w:t>
        </w:r>
      </w:hyperlink>
      <w:r>
        <w:rPr/>
        <w:t>).</w:t>
      </w:r>
    </w:p>
    <w:p>
      <w:pPr>
        <w:pStyle w:val="Nivel3"/>
        <w:numPr>
          <w:ilvl w:val="2"/>
          <w:numId w:val="198"/>
        </w:numPr>
        <w:spacing w:lineRule="auto" w:line="312" w:before="120" w:after="288"/>
        <w:ind w:left="170" w:firstLine="709"/>
        <w:rPr/>
      </w:pPr>
      <w:r>
        <w:rPr/>
        <w:t>Antes da aplicação da multa será facultada a defesa do interessado no prazo de 15 (quinze) dias úteis, contado da data de sua intimação (</w:t>
      </w:r>
      <w:hyperlink r:id="rId26" w:tgtFrame="http://www.planalto.gov.br/ccivil_03/_ato2019-2022/2021/lei/L14133.htm#art157">
        <w:r>
          <w:rPr>
            <w:rStyle w:val="LinkdaInternet"/>
          </w:rPr>
          <w:t>art. 157, da Lei nº 14.133, de 2021</w:t>
        </w:r>
      </w:hyperlink>
      <w:r>
        <w:rPr/>
        <w:t>)</w:t>
      </w:r>
    </w:p>
    <w:p>
      <w:pPr>
        <w:pStyle w:val="Nivel3"/>
        <w:numPr>
          <w:ilvl w:val="2"/>
          <w:numId w:val="199"/>
        </w:numPr>
        <w:spacing w:lineRule="auto" w:line="312" w:before="120" w:after="288"/>
        <w:ind w:left="170" w:firstLine="709"/>
        <w:rPr/>
      </w:pPr>
      <w:r>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27" w:tgtFrame="http://www.planalto.gov.br/ccivil_03/_ato2019-2022/2021/lei/L14133.htm#art156§8">
        <w:r>
          <w:rPr>
            <w:rStyle w:val="LinkdaInternet"/>
          </w:rPr>
          <w:t>art. 156, §8º, da Lei nº 14.133, de 2021</w:t>
        </w:r>
      </w:hyperlink>
      <w:r>
        <w:rPr/>
        <w:t>).</w:t>
      </w:r>
    </w:p>
    <w:p>
      <w:pPr>
        <w:pStyle w:val="Nivel3"/>
        <w:numPr>
          <w:ilvl w:val="2"/>
          <w:numId w:val="200"/>
        </w:numPr>
        <w:spacing w:lineRule="auto" w:line="312" w:before="120" w:after="288"/>
        <w:ind w:left="170" w:firstLine="709"/>
        <w:rPr/>
      </w:pPr>
      <w:r>
        <w:rPr/>
        <w:t xml:space="preserve">Previamente ao encaminhamento à cobrança judicial, a multa poderá ser recolhida administrativamente no prazo máximo de </w:t>
      </w:r>
      <w:r>
        <w:rPr>
          <w:color w:val="auto"/>
        </w:rPr>
        <w:t>15 (quinze) dias</w:t>
      </w:r>
      <w:r>
        <w:rPr/>
        <w:t>, a contar da data do recebimento da comunicação enviada pela autoridade competente.</w:t>
      </w:r>
      <w:bookmarkStart w:id="4" w:name="_Hlk78351618"/>
      <w:bookmarkEnd w:id="4"/>
    </w:p>
    <w:p>
      <w:pPr>
        <w:pStyle w:val="Nivel2"/>
        <w:numPr>
          <w:ilvl w:val="1"/>
          <w:numId w:val="201"/>
        </w:numPr>
        <w:spacing w:lineRule="auto" w:line="312" w:before="120" w:after="288"/>
        <w:ind w:left="0" w:firstLine="709"/>
        <w:rPr/>
      </w:pPr>
      <w:r>
        <w:rPr/>
        <w:t xml:space="preserve">A aplicação das sanções realizar-se-á em processo administrativo que assegure o contraditório e a ampla defesa ao Contratado, observando-se o procedimento previsto no </w:t>
      </w:r>
      <w:r>
        <w:rPr>
          <w:b/>
          <w:bCs/>
        </w:rPr>
        <w:t xml:space="preserve">caput </w:t>
      </w:r>
      <w:r>
        <w:rPr/>
        <w:t xml:space="preserve">e parágrafos do </w:t>
      </w:r>
      <w:hyperlink r:id="rId28" w:tgtFrame="http://www.planalto.gov.br/ccivil_03/_ato2019-2022/2021/lei/L14133.htm#art158">
        <w:r>
          <w:rPr>
            <w:rStyle w:val="LinkdaInternet"/>
          </w:rPr>
          <w:t>art. 158 da Lei nº 14.133, de 2021</w:t>
        </w:r>
      </w:hyperlink>
      <w:r>
        <w:rPr/>
        <w:t>, para as penalidades de impedimento de licitar e contratar e de declaração de inidoneidade para licitar ou contratar.</w:t>
      </w:r>
    </w:p>
    <w:p>
      <w:pPr>
        <w:pStyle w:val="Nivel2"/>
        <w:numPr>
          <w:ilvl w:val="1"/>
          <w:numId w:val="202"/>
        </w:numPr>
        <w:spacing w:lineRule="auto" w:line="312" w:before="120" w:after="288"/>
        <w:ind w:left="0" w:firstLine="709"/>
        <w:rPr/>
      </w:pPr>
      <w:r>
        <w:rPr/>
        <w:t>Na aplicação das sanções serão considerados (</w:t>
      </w:r>
      <w:hyperlink r:id="rId29" w:tgtFrame="http://www.planalto.gov.br/ccivil_03/_ato2019-2022/2021/lei/L14133.htm#art156§1">
        <w:r>
          <w:rPr>
            <w:rStyle w:val="LinkdaInternet"/>
          </w:rPr>
          <w:t>art. 156, §1º, da Lei nº 14.133, de 2021</w:t>
        </w:r>
      </w:hyperlink>
      <w:r>
        <w:rPr/>
        <w:t>):</w:t>
      </w:r>
    </w:p>
    <w:p>
      <w:pPr>
        <w:pStyle w:val="Normal"/>
        <w:numPr>
          <w:ilvl w:val="0"/>
          <w:numId w:val="3"/>
        </w:numPr>
        <w:spacing w:lineRule="auto" w:line="312" w:before="120" w:after="288"/>
        <w:ind w:left="924" w:firstLine="851"/>
        <w:contextualSpacing/>
        <w:jc w:val="both"/>
        <w:rPr>
          <w:rFonts w:ascii="Arial" w:hAnsi="Arial" w:eastAsia="Arial" w:cs="Arial"/>
          <w:sz w:val="20"/>
          <w:szCs w:val="20"/>
        </w:rPr>
      </w:pPr>
      <w:r>
        <w:rPr>
          <w:rFonts w:eastAsia="Arial" w:cs="Arial" w:ascii="Arial" w:hAnsi="Arial"/>
          <w:sz w:val="20"/>
          <w:szCs w:val="20"/>
        </w:rPr>
        <w:t>a natureza e a gravidade da infração cometida;</w:t>
      </w:r>
    </w:p>
    <w:p>
      <w:pPr>
        <w:pStyle w:val="Normal"/>
        <w:numPr>
          <w:ilvl w:val="0"/>
          <w:numId w:val="3"/>
        </w:numPr>
        <w:spacing w:lineRule="auto" w:line="312" w:before="120" w:after="288"/>
        <w:ind w:left="924" w:firstLine="851"/>
        <w:contextualSpacing/>
        <w:jc w:val="both"/>
        <w:rPr>
          <w:rFonts w:ascii="Arial" w:hAnsi="Arial" w:eastAsia="Arial" w:cs="Arial"/>
          <w:sz w:val="20"/>
          <w:szCs w:val="20"/>
        </w:rPr>
      </w:pPr>
      <w:r>
        <w:rPr>
          <w:rFonts w:eastAsia="Arial" w:cs="Arial" w:ascii="Arial" w:hAnsi="Arial"/>
          <w:sz w:val="20"/>
          <w:szCs w:val="20"/>
        </w:rPr>
        <w:t>as peculiaridades do caso concreto;</w:t>
      </w:r>
    </w:p>
    <w:p>
      <w:pPr>
        <w:pStyle w:val="Normal"/>
        <w:numPr>
          <w:ilvl w:val="0"/>
          <w:numId w:val="3"/>
        </w:numPr>
        <w:spacing w:lineRule="auto" w:line="312" w:before="120" w:after="288"/>
        <w:ind w:left="924" w:firstLine="851"/>
        <w:contextualSpacing/>
        <w:jc w:val="both"/>
        <w:rPr>
          <w:rFonts w:ascii="Arial" w:hAnsi="Arial" w:eastAsia="Arial" w:cs="Arial"/>
          <w:sz w:val="20"/>
          <w:szCs w:val="20"/>
        </w:rPr>
      </w:pPr>
      <w:r>
        <w:rPr>
          <w:rFonts w:eastAsia="Arial" w:cs="Arial" w:ascii="Arial" w:hAnsi="Arial"/>
          <w:sz w:val="20"/>
          <w:szCs w:val="20"/>
        </w:rPr>
        <w:t>as circunstâncias agravantes ou atenuantes;</w:t>
      </w:r>
    </w:p>
    <w:p>
      <w:pPr>
        <w:pStyle w:val="Normal"/>
        <w:numPr>
          <w:ilvl w:val="0"/>
          <w:numId w:val="3"/>
        </w:numPr>
        <w:spacing w:lineRule="auto" w:line="312" w:before="120" w:after="288"/>
        <w:ind w:left="924" w:firstLine="851"/>
        <w:contextualSpacing/>
        <w:jc w:val="both"/>
        <w:rPr>
          <w:rFonts w:ascii="Arial" w:hAnsi="Arial" w:eastAsia="Arial" w:cs="Arial"/>
          <w:sz w:val="20"/>
          <w:szCs w:val="20"/>
        </w:rPr>
      </w:pPr>
      <w:r>
        <w:rPr>
          <w:rFonts w:eastAsia="Arial" w:cs="Arial" w:ascii="Arial" w:hAnsi="Arial"/>
          <w:sz w:val="20"/>
          <w:szCs w:val="20"/>
        </w:rPr>
        <w:t>os danos que dela provierem para o Contratante;</w:t>
      </w:r>
    </w:p>
    <w:p>
      <w:pPr>
        <w:pStyle w:val="Normal"/>
        <w:numPr>
          <w:ilvl w:val="0"/>
          <w:numId w:val="3"/>
        </w:numPr>
        <w:spacing w:lineRule="auto" w:line="312" w:before="120" w:after="288"/>
        <w:ind w:left="924" w:firstLine="851"/>
        <w:contextualSpacing/>
        <w:jc w:val="both"/>
        <w:rPr>
          <w:rFonts w:ascii="Arial" w:hAnsi="Arial" w:eastAsia="Arial" w:cs="Arial"/>
          <w:sz w:val="20"/>
          <w:szCs w:val="20"/>
        </w:rPr>
      </w:pPr>
      <w:r>
        <w:rPr>
          <w:rFonts w:eastAsia="Arial" w:cs="Arial" w:ascii="Arial" w:hAnsi="Arial"/>
          <w:sz w:val="20"/>
          <w:szCs w:val="20"/>
        </w:rPr>
        <w:t>a implantação ou o aperfeiçoamento de programa de integridade, conforme normas e orientações dos órgãos de controle.</w:t>
      </w:r>
    </w:p>
    <w:p>
      <w:pPr>
        <w:pStyle w:val="Nivel2"/>
        <w:numPr>
          <w:ilvl w:val="1"/>
          <w:numId w:val="203"/>
        </w:numPr>
        <w:spacing w:lineRule="auto" w:line="312" w:before="120" w:after="288"/>
        <w:ind w:left="0" w:firstLine="709"/>
        <w:rPr/>
      </w:pPr>
      <w:r>
        <w:rPr/>
        <w:t xml:space="preserve">Os atos previstos como infrações administrativas na </w:t>
      </w:r>
      <w:hyperlink r:id="rId30" w:tgtFrame="http://www.planalto.gov.br/ccivil_03/_ato2019-2022/2021/lei/L14133.htm">
        <w:r>
          <w:rPr>
            <w:rStyle w:val="LinkdaInternet"/>
          </w:rPr>
          <w:t>Lei nº 14.133, de 2021</w:t>
        </w:r>
      </w:hyperlink>
      <w:r>
        <w:rPr/>
        <w:t xml:space="preserve">, ou em outras leis de licitações e contratos da Administração Pública que também sejam tipificados como atos lesivos </w:t>
      </w:r>
      <w:hyperlink r:id="rId31" w:tgtFrame="https://www.planalto.gov.br/ccivil_03/_ato2011-2014/2013/lei/l12846.htm">
        <w:r>
          <w:rPr>
            <w:rStyle w:val="LinkdaInternet"/>
          </w:rPr>
          <w:t>na Lei nº 12.846, de 2013</w:t>
        </w:r>
      </w:hyperlink>
      <w:r>
        <w:rPr/>
        <w:t xml:space="preserve">, serão apurados e julgados conjuntamente, nos mesmos autos, observados o rito procedimental e autoridade competente definidos na referida </w:t>
      </w:r>
      <w:hyperlink r:id="rId32" w:tgtFrame="http://www.planalto.gov.br/ccivil_03/_ato2019-2022/2021/lei/L14133.htm#art159">
        <w:r>
          <w:rPr>
            <w:rStyle w:val="LinkdaInternet"/>
          </w:rPr>
          <w:t>Lei (art. 159</w:t>
        </w:r>
      </w:hyperlink>
      <w:r>
        <w:rPr/>
        <w:t>).</w:t>
      </w:r>
    </w:p>
    <w:p>
      <w:pPr>
        <w:pStyle w:val="Nivel2"/>
        <w:numPr>
          <w:ilvl w:val="1"/>
          <w:numId w:val="204"/>
        </w:numPr>
        <w:spacing w:lineRule="auto" w:line="312" w:before="120" w:after="288"/>
        <w:ind w:left="0" w:firstLine="709"/>
        <w:rPr>
          <w:i/>
          <w:i/>
          <w:iCs/>
        </w:rPr>
      </w:pPr>
      <w:r>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3" w:tgtFrame="http://www.planalto.gov.br/ccivil_03/_ato2019-2022/2021/lei/L14133.htm#art160">
        <w:r>
          <w:rPr>
            <w:rStyle w:val="LinkdaInternet"/>
          </w:rPr>
          <w:t>art. 160, da Lei nº 14.133, de 2021</w:t>
        </w:r>
      </w:hyperlink>
      <w:r>
        <w:rPr/>
        <w:t>)</w:t>
      </w:r>
    </w:p>
    <w:p>
      <w:pPr>
        <w:pStyle w:val="Nivel2"/>
        <w:numPr>
          <w:ilvl w:val="1"/>
          <w:numId w:val="205"/>
        </w:numPr>
        <w:spacing w:lineRule="auto" w:line="312" w:before="120" w:after="288"/>
        <w:ind w:left="0" w:firstLine="709"/>
        <w:rPr>
          <w:i/>
          <w:i/>
          <w:iCs/>
        </w:rPr>
      </w:pPr>
      <w:r>
        <w:rPr/>
        <w:t xml:space="preserve"> </w:t>
      </w:r>
      <w:r>
        <w:rP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34" w:tgtFrame="http://www.planalto.gov.br/ccivil_03/_ato2019-2022/2021/lei/L14133.htm#art161">
        <w:r>
          <w:rPr>
            <w:rStyle w:val="LinkdaInternet"/>
          </w:rPr>
          <w:t>Art. 161, da Lei nº 14.133, de 2021</w:t>
        </w:r>
      </w:hyperlink>
      <w:r>
        <w:rPr/>
        <w:t>)</w:t>
      </w:r>
    </w:p>
    <w:p>
      <w:pPr>
        <w:pStyle w:val="Nivel2"/>
        <w:numPr>
          <w:ilvl w:val="1"/>
          <w:numId w:val="206"/>
        </w:numPr>
        <w:spacing w:lineRule="auto" w:line="312" w:before="120" w:after="288"/>
        <w:ind w:left="0" w:firstLine="709"/>
        <w:rPr>
          <w:i/>
          <w:i/>
          <w:iCs/>
        </w:rPr>
      </w:pPr>
      <w:r>
        <w:rPr/>
        <w:t xml:space="preserve">As sanções de impedimento de licitar e contratar e declaração de inidoneidade para licitar ou contratar são passíveis de reabilitação na forma do </w:t>
      </w:r>
      <w:hyperlink r:id="rId35" w:tgtFrame="http://www.planalto.gov.br/ccivil_03/_ato2019-2022/2021/lei/L14133.htm#art163">
        <w:r>
          <w:rPr>
            <w:rStyle w:val="LinkdaInternet"/>
          </w:rPr>
          <w:t>art. 163 da Lei nº 14.133/21.</w:t>
        </w:r>
      </w:hyperlink>
    </w:p>
    <w:p>
      <w:pPr>
        <w:pStyle w:val="Nivel2"/>
        <w:numPr>
          <w:ilvl w:val="1"/>
          <w:numId w:val="207"/>
        </w:numPr>
        <w:spacing w:lineRule="auto" w:line="312" w:before="120" w:after="288"/>
        <w:ind w:left="0" w:firstLine="709"/>
        <w:rPr/>
      </w:pPr>
      <w:r>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36" w:tgtFrame="https://www.gov.br/compras/pt-br/acesso-a-informacao/legislacao/instrucoes-normativas/instrucao-normativa-seges-me-no-26-de-13-de-abril-de-2022">
        <w:r>
          <w:rPr>
            <w:rStyle w:val="LinkdaInternet"/>
          </w:rPr>
          <w:t>Instrução Normativa SEGES/ME nº 26, de 13 de abril de 2022</w:t>
        </w:r>
      </w:hyperlink>
      <w:r>
        <w:rPr/>
        <w:t xml:space="preserve">. </w:t>
      </w:r>
    </w:p>
    <w:p>
      <w:pPr>
        <w:pStyle w:val="Nivel01"/>
        <w:numPr>
          <w:ilvl w:val="0"/>
          <w:numId w:val="208"/>
        </w:numPr>
        <w:spacing w:lineRule="auto" w:line="312" w:before="120" w:after="288"/>
        <w:ind w:left="0" w:hanging="0"/>
        <w:rPr>
          <w:color w:val="FFFFFF" w:themeColor="background1"/>
        </w:rPr>
      </w:pPr>
      <w:r>
        <w:rPr/>
        <w:t>CLÁUSULA DÉCIMA TERCEIRA – DA EXTINÇÃO CONTRATUAL (</w:t>
      </w:r>
      <w:hyperlink r:id="rId37" w:tgtFrame="http://www.planalto.gov.br/ccivil_03/_ato2019-2022/2021/lei/L14133.htm#art92">
        <w:r>
          <w:rPr>
            <w:rStyle w:val="LinkdaInternet"/>
          </w:rPr>
          <w:t>art. 92, XIX</w:t>
        </w:r>
      </w:hyperlink>
      <w:r>
        <w:rPr/>
        <w:t>)</w:t>
      </w:r>
    </w:p>
    <w:p>
      <w:pPr>
        <w:pStyle w:val="Nivel2"/>
        <w:numPr>
          <w:ilvl w:val="1"/>
          <w:numId w:val="209"/>
        </w:numPr>
        <w:spacing w:lineRule="auto" w:line="312" w:before="120" w:after="288"/>
        <w:ind w:left="0" w:firstLine="709"/>
        <w:rPr>
          <w:iCs/>
          <w:color w:val="auto"/>
        </w:rPr>
      </w:pPr>
      <w:r>
        <w:rPr>
          <w:iCs/>
          <w:color w:val="auto"/>
        </w:rPr>
        <w:t>O contrato se extingue quando cumpridas as obrigações de ambas as partes, ainda que isso ocorra antes do prazo estipulado para tanto.</w:t>
      </w:r>
    </w:p>
    <w:p>
      <w:pPr>
        <w:pStyle w:val="Nivel2"/>
        <w:numPr>
          <w:ilvl w:val="1"/>
          <w:numId w:val="210"/>
        </w:numPr>
        <w:spacing w:lineRule="auto" w:line="312" w:before="120" w:after="288"/>
        <w:ind w:left="0" w:firstLine="709"/>
        <w:rPr>
          <w:iCs/>
          <w:color w:val="auto"/>
        </w:rPr>
      </w:pPr>
      <w:r>
        <w:rPr>
          <w:iCs/>
          <w:color w:val="auto"/>
        </w:rPr>
        <w:t>Se as obrigações não forem cumpridas no prazo estipulado, a vigência ficará prorrogada até a conclusão do objeto, caso em que deverá a Administração providenciar a readequação do cronograma fixado para o contrato.</w:t>
      </w:r>
    </w:p>
    <w:p>
      <w:pPr>
        <w:pStyle w:val="Nivel2"/>
        <w:numPr>
          <w:ilvl w:val="1"/>
          <w:numId w:val="211"/>
        </w:numPr>
        <w:spacing w:lineRule="auto" w:line="312" w:before="120" w:after="288"/>
        <w:ind w:left="0" w:firstLine="709"/>
        <w:rPr>
          <w:iCs/>
          <w:color w:val="auto"/>
        </w:rPr>
      </w:pPr>
      <w:r>
        <w:rPr>
          <w:iCs/>
          <w:color w:val="auto"/>
        </w:rPr>
        <w:t>Quando a não conclusão do contrato referida no item anterior decorrer de culpa do contratado:</w:t>
      </w:r>
    </w:p>
    <w:p>
      <w:pPr>
        <w:pStyle w:val="ListParagraph"/>
        <w:numPr>
          <w:ilvl w:val="0"/>
          <w:numId w:val="4"/>
        </w:numPr>
        <w:spacing w:lineRule="auto" w:line="312" w:before="120" w:after="288"/>
        <w:ind w:left="924" w:firstLine="851"/>
        <w:contextualSpacing/>
        <w:jc w:val="both"/>
        <w:rPr>
          <w:rFonts w:ascii="Arial" w:hAnsi="Arial" w:eastAsia="Arial" w:cs="Arial"/>
          <w:iCs/>
          <w:sz w:val="20"/>
          <w:szCs w:val="20"/>
        </w:rPr>
      </w:pPr>
      <w:r>
        <w:rPr>
          <w:rFonts w:eastAsia="Arial" w:cs="Arial" w:ascii="Arial" w:hAnsi="Arial"/>
          <w:iCs/>
          <w:sz w:val="20"/>
          <w:szCs w:val="20"/>
        </w:rPr>
        <w:t xml:space="preserve">ficará ele constituído em mora, sendo-lhe aplicáveis as respectivas sanções administrativas; e  </w:t>
      </w:r>
    </w:p>
    <w:p>
      <w:pPr>
        <w:pStyle w:val="ListParagraph"/>
        <w:numPr>
          <w:ilvl w:val="0"/>
          <w:numId w:val="4"/>
        </w:numPr>
        <w:spacing w:lineRule="auto" w:line="312" w:before="120" w:after="288"/>
        <w:ind w:left="924" w:firstLine="851"/>
        <w:contextualSpacing/>
        <w:jc w:val="both"/>
        <w:rPr>
          <w:rFonts w:ascii="Arial" w:hAnsi="Arial" w:eastAsia="Arial" w:cs="Arial"/>
          <w:iCs/>
          <w:sz w:val="20"/>
          <w:szCs w:val="20"/>
        </w:rPr>
      </w:pPr>
      <w:r>
        <w:rPr>
          <w:rFonts w:eastAsia="Arial" w:cs="Arial" w:ascii="Arial" w:hAnsi="Arial"/>
          <w:iCs/>
          <w:sz w:val="20"/>
          <w:szCs w:val="20"/>
        </w:rPr>
        <w:t>poderá a Administração optar pela extinção do contrato e, nesse caso, adotará as medidas admitidas em lei para a continuidade da execução contratual.</w:t>
      </w:r>
    </w:p>
    <w:p>
      <w:pPr>
        <w:pStyle w:val="Nivel2"/>
        <w:numPr>
          <w:ilvl w:val="1"/>
          <w:numId w:val="212"/>
        </w:numPr>
        <w:spacing w:lineRule="auto" w:line="312" w:before="120" w:after="288"/>
        <w:ind w:left="0" w:firstLine="709"/>
        <w:rPr/>
      </w:pPr>
      <w:r>
        <w:rPr/>
        <w:t xml:space="preserve">O contrato pode ser extinto antes de cumpridas as obrigações nele estipuladas, ou antes do prazo nele fixado, por algum dos motivos previstos no </w:t>
      </w:r>
      <w:hyperlink r:id="rId38" w:tgtFrame="http://www.planalto.gov.br/ccivil_03/_ato2019-2022/2021/lei/L14133.htm#art137">
        <w:r>
          <w:rPr>
            <w:rStyle w:val="LinkdaInternet"/>
          </w:rPr>
          <w:t>artigo 137 da Lei nº 14.133/21</w:t>
        </w:r>
      </w:hyperlink>
      <w:r>
        <w:rPr/>
        <w:t xml:space="preserve">, bem como amigavelmente, </w:t>
      </w:r>
      <w:r>
        <w:rPr>
          <w:color w:val="000000" w:themeColor="text1"/>
        </w:rPr>
        <w:t>assegurados o contraditório e a ampla defesa</w:t>
      </w:r>
      <w:r>
        <w:rPr/>
        <w:t>.</w:t>
      </w:r>
    </w:p>
    <w:p>
      <w:pPr>
        <w:pStyle w:val="Nivel3"/>
        <w:numPr>
          <w:ilvl w:val="2"/>
          <w:numId w:val="213"/>
        </w:numPr>
        <w:spacing w:lineRule="auto" w:line="312" w:before="120" w:after="288"/>
        <w:ind w:left="170" w:firstLine="709"/>
        <w:rPr/>
      </w:pPr>
      <w:r>
        <w:rPr/>
        <w:t xml:space="preserve">Nesta hipótese, aplicam-se também os </w:t>
      </w:r>
      <w:hyperlink r:id="rId39" w:tgtFrame="http://www.planalto.gov.br/ccivil_03/_ato2019-2022/2021/lei/L14133.htm#art138">
        <w:r>
          <w:rPr>
            <w:rStyle w:val="LinkdaInternet"/>
          </w:rPr>
          <w:t>artigos 138 e 139</w:t>
        </w:r>
      </w:hyperlink>
      <w:r>
        <w:rPr/>
        <w:t xml:space="preserve"> da mesma Lei.</w:t>
      </w:r>
    </w:p>
    <w:p>
      <w:pPr>
        <w:pStyle w:val="Nivel3"/>
        <w:numPr>
          <w:ilvl w:val="2"/>
          <w:numId w:val="214"/>
        </w:numPr>
        <w:spacing w:lineRule="auto" w:line="312" w:before="120" w:after="288"/>
        <w:ind w:left="170" w:firstLine="709"/>
        <w:rPr/>
      </w:pPr>
      <w:r>
        <w:rPr/>
        <w:t xml:space="preserve">A </w:t>
      </w:r>
      <w:r>
        <w:rPr>
          <w:color w:val="000000" w:themeColor="text1"/>
        </w:rPr>
        <w:t>alteração social ou a modificação da finalidade ou da estrutura da empresa</w:t>
      </w:r>
      <w:r>
        <w:rPr/>
        <w:t xml:space="preserve"> não ensejará a rescisão se não </w:t>
      </w:r>
      <w:r>
        <w:rPr>
          <w:color w:val="000000" w:themeColor="text1"/>
        </w:rPr>
        <w:t>restringir sua capacidade de concluir o contrato.</w:t>
      </w:r>
    </w:p>
    <w:p>
      <w:pPr>
        <w:pStyle w:val="Nivel4"/>
        <w:numPr>
          <w:ilvl w:val="3"/>
          <w:numId w:val="215"/>
        </w:numPr>
        <w:spacing w:lineRule="auto" w:line="312" w:before="120" w:after="288"/>
        <w:ind w:left="284" w:firstLine="709"/>
        <w:rPr/>
      </w:pPr>
      <w:r>
        <w:rPr>
          <w:color w:val="000000" w:themeColor="text1"/>
        </w:rPr>
        <w:t xml:space="preserve">Se a operação </w:t>
      </w:r>
      <w:r>
        <w:rPr/>
        <w:t>implicar mudança da pessoa jurídica contratada, deverá ser formalizado termo aditivo para alteração subjetiva.</w:t>
      </w:r>
    </w:p>
    <w:p>
      <w:pPr>
        <w:pStyle w:val="Nivel2"/>
        <w:numPr>
          <w:ilvl w:val="1"/>
          <w:numId w:val="216"/>
        </w:numPr>
        <w:spacing w:lineRule="auto" w:line="312" w:before="120" w:after="288"/>
        <w:ind w:left="0" w:firstLine="709"/>
        <w:rPr/>
      </w:pPr>
      <w:r>
        <w:rPr/>
        <w:t>O termo de rescisão, sempre que possível, será precedido:</w:t>
      </w:r>
    </w:p>
    <w:p>
      <w:pPr>
        <w:pStyle w:val="Nivel3"/>
        <w:numPr>
          <w:ilvl w:val="2"/>
          <w:numId w:val="217"/>
        </w:numPr>
        <w:spacing w:lineRule="auto" w:line="312" w:before="120" w:after="288"/>
        <w:ind w:left="170" w:firstLine="709"/>
        <w:rPr/>
      </w:pPr>
      <w:r>
        <w:rPr/>
        <w:t>Balanço dos eventos contratuais já cumpridos ou parcialmente cumpridos;</w:t>
      </w:r>
    </w:p>
    <w:p>
      <w:pPr>
        <w:pStyle w:val="Nivel3"/>
        <w:numPr>
          <w:ilvl w:val="2"/>
          <w:numId w:val="218"/>
        </w:numPr>
        <w:spacing w:lineRule="auto" w:line="312" w:before="120" w:after="288"/>
        <w:ind w:left="170" w:firstLine="709"/>
        <w:rPr/>
      </w:pPr>
      <w:r>
        <w:rPr/>
        <w:t>Relação dos pagamentos já efetuados e ainda devidos;</w:t>
      </w:r>
    </w:p>
    <w:p>
      <w:pPr>
        <w:pStyle w:val="Nivel3"/>
        <w:numPr>
          <w:ilvl w:val="2"/>
          <w:numId w:val="219"/>
        </w:numPr>
        <w:spacing w:lineRule="auto" w:line="312" w:before="120" w:after="288"/>
        <w:ind w:left="170" w:firstLine="709"/>
        <w:rPr/>
      </w:pPr>
      <w:r>
        <w:rPr/>
        <w:t>Indenizações e multas.</w:t>
      </w:r>
    </w:p>
    <w:p>
      <w:pPr>
        <w:pStyle w:val="Nivel2"/>
        <w:numPr>
          <w:ilvl w:val="1"/>
          <w:numId w:val="220"/>
        </w:numPr>
        <w:spacing w:lineRule="auto" w:line="312" w:before="120" w:after="288"/>
        <w:ind w:left="0" w:firstLine="709"/>
        <w:rPr/>
      </w:pPr>
      <w:r>
        <w:rPr/>
        <w:t>A extinção do contrato não configura óbice para o reconhecimento do desequilíbrio econômico-financeiro, hipótese em que será concedida indenização por meio de termo indenizatório (</w:t>
      </w:r>
      <w:hyperlink r:id="rId40" w:tgtFrame="http://www.planalto.gov.br/ccivil_03/_ato2019-2022/2021/lei/L14133.htm#art131">
        <w:r>
          <w:rPr>
            <w:rStyle w:val="LinkdaInternet"/>
          </w:rPr>
          <w:t xml:space="preserve">art. 131, </w:t>
        </w:r>
        <w:r>
          <w:rPr>
            <w:rStyle w:val="LinkdaInternet"/>
            <w:i/>
            <w:iCs/>
          </w:rPr>
          <w:t xml:space="preserve">caput, </w:t>
        </w:r>
        <w:r>
          <w:rPr>
            <w:rStyle w:val="LinkdaInternet"/>
          </w:rPr>
          <w:t>da Lei n.º 14.133, de 2021).</w:t>
        </w:r>
      </w:hyperlink>
      <w:r>
        <w:rPr/>
        <w:t xml:space="preserve"> </w:t>
      </w:r>
    </w:p>
    <w:p>
      <w:pPr>
        <w:pStyle w:val="Nivel01"/>
        <w:numPr>
          <w:ilvl w:val="0"/>
          <w:numId w:val="221"/>
        </w:numPr>
        <w:spacing w:lineRule="auto" w:line="312" w:before="120" w:after="288"/>
        <w:ind w:left="0" w:hanging="0"/>
        <w:rPr>
          <w:color w:val="FFFFFF" w:themeColor="background1"/>
        </w:rPr>
      </w:pPr>
      <w:r>
        <w:rPr/>
        <w:t>CLÁUSULA DÉCIMA QUARTA – DOTAÇÃO ORÇAMENTÁRIA (</w:t>
      </w:r>
      <w:hyperlink r:id="rId41" w:tgtFrame="http://www.planalto.gov.br/ccivil_03/_ato2019-2022/2021/lei/L14133.htm#art92">
        <w:r>
          <w:rPr>
            <w:rStyle w:val="LinkdaInternet"/>
          </w:rPr>
          <w:t>art. 92, VIII</w:t>
        </w:r>
      </w:hyperlink>
      <w:r>
        <w:rPr/>
        <w:t>)</w:t>
      </w:r>
    </w:p>
    <w:p>
      <w:pPr>
        <w:pStyle w:val="Nivel2"/>
        <w:numPr>
          <w:ilvl w:val="1"/>
          <w:numId w:val="222"/>
        </w:numPr>
        <w:spacing w:lineRule="auto" w:line="312" w:before="120" w:after="288"/>
        <w:ind w:left="0" w:firstLine="709"/>
        <w:rPr/>
      </w:pPr>
      <w:r>
        <w:rPr/>
        <w:t>As despesas decorrentes da presente contratação correrão à conta de recursos específicos consignados no Orçamento Geral da União deste exercício, na dotação abaixo discriminada:</w:t>
      </w:r>
    </w:p>
    <w:p>
      <w:pPr>
        <w:pStyle w:val="Normal"/>
        <w:numPr>
          <w:ilvl w:val="1"/>
          <w:numId w:val="5"/>
        </w:numPr>
        <w:spacing w:lineRule="auto" w:line="312" w:before="120" w:after="288"/>
        <w:ind w:left="0" w:firstLine="1134"/>
        <w:jc w:val="both"/>
        <w:rPr>
          <w:rFonts w:ascii="Arial" w:hAnsi="Arial" w:eastAsia="Arial" w:cs="Arial"/>
          <w:sz w:val="20"/>
          <w:szCs w:val="20"/>
        </w:rPr>
      </w:pPr>
      <w:r>
        <w:rPr>
          <w:rFonts w:eastAsia="Arial" w:cs="Arial" w:ascii="Arial" w:hAnsi="Arial"/>
          <w:sz w:val="20"/>
          <w:szCs w:val="20"/>
        </w:rPr>
        <w:t xml:space="preserve">Gestão/Unidade: </w:t>
      </w:r>
    </w:p>
    <w:p>
      <w:pPr>
        <w:pStyle w:val="Normal"/>
        <w:numPr>
          <w:ilvl w:val="1"/>
          <w:numId w:val="5"/>
        </w:numPr>
        <w:spacing w:lineRule="auto" w:line="312" w:before="120" w:after="288"/>
        <w:ind w:left="0" w:firstLine="1134"/>
        <w:jc w:val="both"/>
        <w:rPr>
          <w:rFonts w:ascii="Arial" w:hAnsi="Arial" w:eastAsia="Arial" w:cs="Arial"/>
          <w:sz w:val="20"/>
          <w:szCs w:val="20"/>
        </w:rPr>
      </w:pPr>
      <w:r>
        <w:rPr>
          <w:rFonts w:eastAsia="Arial" w:cs="Arial" w:ascii="Arial" w:hAnsi="Arial"/>
          <w:sz w:val="20"/>
          <w:szCs w:val="20"/>
        </w:rPr>
        <w:t xml:space="preserve">Fonte de Recursos:  </w:t>
      </w:r>
    </w:p>
    <w:p>
      <w:pPr>
        <w:pStyle w:val="Normal"/>
        <w:numPr>
          <w:ilvl w:val="1"/>
          <w:numId w:val="5"/>
        </w:numPr>
        <w:spacing w:lineRule="auto" w:line="312" w:before="120" w:after="288"/>
        <w:ind w:left="0" w:firstLine="1134"/>
        <w:jc w:val="both"/>
        <w:rPr>
          <w:rFonts w:ascii="Arial" w:hAnsi="Arial" w:eastAsia="Arial" w:cs="Arial"/>
          <w:sz w:val="20"/>
          <w:szCs w:val="20"/>
        </w:rPr>
      </w:pPr>
      <w:r>
        <w:rPr>
          <w:rFonts w:eastAsia="Arial" w:cs="Arial" w:ascii="Arial" w:hAnsi="Arial"/>
          <w:sz w:val="20"/>
          <w:szCs w:val="20"/>
        </w:rPr>
        <w:t xml:space="preserve">Programa de Trabalho: </w:t>
      </w:r>
    </w:p>
    <w:p>
      <w:pPr>
        <w:pStyle w:val="Normal"/>
        <w:numPr>
          <w:ilvl w:val="1"/>
          <w:numId w:val="5"/>
        </w:numPr>
        <w:spacing w:lineRule="auto" w:line="312" w:before="120" w:after="288"/>
        <w:ind w:left="0" w:firstLine="1134"/>
        <w:jc w:val="both"/>
        <w:rPr>
          <w:rFonts w:ascii="Arial" w:hAnsi="Arial" w:eastAsia="Arial" w:cs="Arial"/>
          <w:sz w:val="20"/>
          <w:szCs w:val="20"/>
        </w:rPr>
      </w:pPr>
      <w:r>
        <w:rPr>
          <w:rFonts w:eastAsia="Arial" w:cs="Arial" w:ascii="Arial" w:hAnsi="Arial"/>
          <w:sz w:val="20"/>
          <w:szCs w:val="20"/>
        </w:rPr>
        <w:t xml:space="preserve">Elemento de Despesa: </w:t>
      </w:r>
    </w:p>
    <w:p>
      <w:pPr>
        <w:pStyle w:val="Normal"/>
        <w:numPr>
          <w:ilvl w:val="1"/>
          <w:numId w:val="5"/>
        </w:numPr>
        <w:spacing w:lineRule="auto" w:line="312" w:before="120" w:after="288"/>
        <w:ind w:left="0" w:firstLine="1134"/>
        <w:jc w:val="both"/>
        <w:rPr>
          <w:rFonts w:ascii="Arial" w:hAnsi="Arial" w:eastAsia="Arial" w:cs="Arial"/>
          <w:sz w:val="20"/>
          <w:szCs w:val="20"/>
        </w:rPr>
      </w:pPr>
      <w:r>
        <w:rPr>
          <w:rFonts w:eastAsia="Arial" w:cs="Arial" w:ascii="Arial" w:hAnsi="Arial"/>
          <w:sz w:val="20"/>
          <w:szCs w:val="20"/>
        </w:rPr>
        <w:t xml:space="preserve">Plano Interno: </w:t>
      </w:r>
    </w:p>
    <w:p>
      <w:pPr>
        <w:pStyle w:val="Normal"/>
        <w:numPr>
          <w:ilvl w:val="1"/>
          <w:numId w:val="5"/>
        </w:numPr>
        <w:spacing w:lineRule="auto" w:line="312" w:before="120" w:after="288"/>
        <w:ind w:left="0" w:firstLine="1134"/>
        <w:jc w:val="both"/>
        <w:rPr>
          <w:rFonts w:ascii="Arial" w:hAnsi="Arial" w:eastAsia="Arial" w:cs="Arial"/>
          <w:sz w:val="20"/>
          <w:szCs w:val="20"/>
        </w:rPr>
      </w:pPr>
      <w:r>
        <w:rPr>
          <w:rFonts w:eastAsia="Arial" w:cs="Arial" w:ascii="Arial" w:hAnsi="Arial"/>
          <w:sz w:val="20"/>
          <w:szCs w:val="20"/>
        </w:rPr>
        <w:t>Nota de Empenho:</w:t>
      </w:r>
    </w:p>
    <w:p>
      <w:pPr>
        <w:pStyle w:val="Nivel01"/>
        <w:numPr>
          <w:ilvl w:val="0"/>
          <w:numId w:val="223"/>
        </w:numPr>
        <w:spacing w:lineRule="auto" w:line="312" w:before="120" w:after="288"/>
        <w:ind w:left="0" w:hanging="0"/>
        <w:rPr>
          <w:color w:val="FFFFFF" w:themeColor="background1"/>
        </w:rPr>
      </w:pPr>
      <w:r>
        <w:rPr/>
        <w:t>CLÁUSULA DÉCIMA QUINTA – DOS CASOS OMISSOS (</w:t>
      </w:r>
      <w:hyperlink r:id="rId42" w:tgtFrame="http://www.planalto.gov.br/ccivil_03/_ato2019-2022/2021/lei/L14133.htm#art92">
        <w:r>
          <w:rPr>
            <w:rStyle w:val="LinkdaInternet"/>
          </w:rPr>
          <w:t>art. 92, III</w:t>
        </w:r>
      </w:hyperlink>
      <w:r>
        <w:rPr/>
        <w:t>)</w:t>
      </w:r>
    </w:p>
    <w:p>
      <w:pPr>
        <w:pStyle w:val="Nivel2"/>
        <w:numPr>
          <w:ilvl w:val="1"/>
          <w:numId w:val="224"/>
        </w:numPr>
        <w:spacing w:lineRule="auto" w:line="312" w:before="120" w:after="288"/>
        <w:ind w:left="0" w:firstLine="709"/>
        <w:rPr/>
      </w:pPr>
      <w:r>
        <w:rPr/>
        <w:t xml:space="preserve">Os casos omissos serão decididos pelo contratante, segundo as disposições contidas na </w:t>
      </w:r>
      <w:hyperlink r:id="rId43" w:tgtFrame="http://www.planalto.gov.br/ccivil_03/_ato2019-2022/2021/lei/L14133.htm">
        <w:r>
          <w:rPr>
            <w:rStyle w:val="LinkdaInternet"/>
          </w:rPr>
          <w:t>Lei nº 14.133, de 2021</w:t>
        </w:r>
      </w:hyperlink>
      <w:r>
        <w:rPr/>
        <w:t xml:space="preserve">, e demais normas federais aplicáveis e, subsidiariamente, segundo as disposições contidas na </w:t>
      </w:r>
      <w:hyperlink r:id="rId44" w:tgtFrame="https://www.planalto.gov.br/ccivil_03/leis/l8078compilado.htm">
        <w:r>
          <w:rPr>
            <w:rStyle w:val="LinkdaInternet"/>
          </w:rPr>
          <w:t>Lei nº 8.078, de 1990 – Código de Defesa do Consumidor</w:t>
        </w:r>
      </w:hyperlink>
      <w:r>
        <w:rPr/>
        <w:t xml:space="preserve"> – e normas e princípios gerais dos contratos.</w:t>
      </w:r>
    </w:p>
    <w:p>
      <w:pPr>
        <w:pStyle w:val="Nivel01"/>
        <w:numPr>
          <w:ilvl w:val="0"/>
          <w:numId w:val="225"/>
        </w:numPr>
        <w:spacing w:lineRule="auto" w:line="312" w:before="120" w:after="288"/>
        <w:ind w:left="0" w:hanging="0"/>
        <w:rPr>
          <w:color w:val="FFFFFF" w:themeColor="background1"/>
        </w:rPr>
      </w:pPr>
      <w:r>
        <w:rPr/>
        <w:t>CLÁUSULA DÉCIMA SEXTA – ALTERAÇÕES</w:t>
      </w:r>
    </w:p>
    <w:p>
      <w:pPr>
        <w:pStyle w:val="Nivel2"/>
        <w:numPr>
          <w:ilvl w:val="1"/>
          <w:numId w:val="226"/>
        </w:numPr>
        <w:spacing w:lineRule="auto" w:line="312" w:before="120" w:after="288"/>
        <w:ind w:left="0" w:firstLine="709"/>
        <w:rPr/>
      </w:pPr>
      <w:r>
        <w:rPr/>
        <w:t xml:space="preserve">Eventuais alterações contratuais reger-se-ão pela disciplina dos </w:t>
      </w:r>
      <w:hyperlink r:id="rId45" w:tgtFrame="http://www.planalto.gov.br/ccivil_03/_ato2019-2022/2021/lei/L14133.htm#art124">
        <w:r>
          <w:rPr>
            <w:rStyle w:val="LinkdaInternet"/>
          </w:rPr>
          <w:t>arts. 124 e seguintes da Lei nº 14.133, de 2021</w:t>
        </w:r>
      </w:hyperlink>
      <w:r>
        <w:rPr/>
        <w:t>.</w:t>
      </w:r>
    </w:p>
    <w:p>
      <w:pPr>
        <w:pStyle w:val="Nivel2"/>
        <w:numPr>
          <w:ilvl w:val="1"/>
          <w:numId w:val="227"/>
        </w:numPr>
        <w:spacing w:lineRule="auto" w:line="312" w:before="120" w:after="288"/>
        <w:ind w:left="0" w:firstLine="709"/>
        <w:rPr/>
      </w:pPr>
      <w: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228"/>
        </w:numPr>
        <w:spacing w:lineRule="auto" w:line="312" w:before="120" w:after="288"/>
        <w:ind w:left="0" w:firstLine="709"/>
        <w:rPr/>
      </w:pPr>
      <w:r>
        <w:rPr/>
        <w:t xml:space="preserve">Registros que não caracterizam alteração do contrato podem ser realizados por simples apostila, dispensada a celebração de termo aditivo, na forma do </w:t>
      </w:r>
      <w:hyperlink r:id="rId46" w:tgtFrame="http://www.planalto.gov.br/ccivil_03/_ato2019-2022/2021/lei/L14133.htm#art136">
        <w:r>
          <w:rPr>
            <w:rStyle w:val="LinkdaInternet"/>
          </w:rPr>
          <w:t>art. 136 da Lei nº 14.133, de 2021</w:t>
        </w:r>
      </w:hyperlink>
      <w:r>
        <w:rPr/>
        <w:t>.</w:t>
      </w:r>
    </w:p>
    <w:p>
      <w:pPr>
        <w:pStyle w:val="Nivel01"/>
        <w:numPr>
          <w:ilvl w:val="0"/>
          <w:numId w:val="229"/>
        </w:numPr>
        <w:spacing w:lineRule="auto" w:line="312" w:before="120" w:after="288"/>
        <w:ind w:left="0" w:hanging="0"/>
        <w:rPr>
          <w:color w:val="FFFFFF" w:themeColor="background1"/>
        </w:rPr>
      </w:pPr>
      <w:r>
        <w:rPr/>
        <w:t>CLÁUSULA DÉCIMA SÉTIMA – PUBLICAÇÃO</w:t>
      </w:r>
    </w:p>
    <w:p>
      <w:pPr>
        <w:pStyle w:val="Nivel2"/>
        <w:numPr>
          <w:ilvl w:val="1"/>
          <w:numId w:val="230"/>
        </w:numPr>
        <w:spacing w:lineRule="auto" w:line="312" w:before="120" w:after="288"/>
        <w:ind w:left="0" w:firstLine="709"/>
        <w:rPr/>
      </w:pPr>
      <w:r>
        <w:rPr/>
        <w:t xml:space="preserve">Incumbirá ao contratante divulgar o presente instrumento no Portal Nacional de Contratações Públicas (PNCP), na forma prevista no </w:t>
      </w:r>
      <w:hyperlink r:id="rId47" w:tgtFrame="http://www.planalto.gov.br/ccivil_03/_ato2019-2022/2021/lei/L14133.htm#art94">
        <w:r>
          <w:rPr>
            <w:rStyle w:val="LinkdaInternet"/>
          </w:rPr>
          <w:t>art. 94 da Lei 14.133, de 2021</w:t>
        </w:r>
      </w:hyperlink>
      <w:r>
        <w:rPr/>
        <w:t xml:space="preserve">, bem como no respectivo sítio oficial na Internet, em atenção ao </w:t>
      </w:r>
      <w:hyperlink r:id="rId48" w:tgtFrame="https://www.planalto.gov.br/ccivil_03/_ato2011-2014/2011/lei/l12527.htm#art8§2">
        <w:r>
          <w:rPr>
            <w:rStyle w:val="LinkdaInternet"/>
          </w:rPr>
          <w:t>art. 8º, §2º, da Lei n. 12.527, de 2011</w:t>
        </w:r>
      </w:hyperlink>
      <w:r>
        <w:rPr/>
        <w:t xml:space="preserve">, c/c </w:t>
      </w:r>
      <w:hyperlink r:id="rId49" w:tgtFrame="https://www.planalto.gov.br/ccivil_03/_ato2011-2014/2012/decreto/d7724.htm#art7§3">
        <w:r>
          <w:rPr>
            <w:rStyle w:val="LinkdaInternet"/>
          </w:rPr>
          <w:t>art. 7º, §3º, inciso V, do Decreto n. 7.724, de 2012.</w:t>
        </w:r>
      </w:hyperlink>
      <w:r>
        <w:rPr/>
        <w:t xml:space="preserve"> </w:t>
      </w:r>
    </w:p>
    <w:p>
      <w:pPr>
        <w:pStyle w:val="Nivel01"/>
        <w:numPr>
          <w:ilvl w:val="0"/>
          <w:numId w:val="231"/>
        </w:numPr>
        <w:spacing w:lineRule="auto" w:line="312" w:before="120" w:after="288"/>
        <w:ind w:left="0" w:hanging="0"/>
        <w:rPr>
          <w:color w:val="FFFFFF" w:themeColor="background1"/>
        </w:rPr>
      </w:pPr>
      <w:r>
        <w:rPr/>
        <w:t>CLÁUSULA DÉCIMA OITAVA– FORO (</w:t>
      </w:r>
      <w:hyperlink r:id="rId50" w:tgtFrame="http://www.planalto.gov.br/ccivil_03/_ato2019-2022/2021/lei/L14133.htm#art92§1">
        <w:r>
          <w:rPr>
            <w:rStyle w:val="LinkdaInternet"/>
          </w:rPr>
          <w:t>art. 92, §1º</w:t>
        </w:r>
      </w:hyperlink>
      <w:r>
        <w:rPr/>
        <w:t>)</w:t>
      </w:r>
    </w:p>
    <w:p>
      <w:pPr>
        <w:pStyle w:val="Nivel2"/>
        <w:numPr>
          <w:ilvl w:val="1"/>
          <w:numId w:val="232"/>
        </w:numPr>
        <w:spacing w:lineRule="auto" w:line="312" w:before="120" w:after="288"/>
        <w:ind w:left="0" w:firstLine="709"/>
        <w:rPr/>
      </w:pPr>
      <w:r>
        <w:rPr/>
        <w:t xml:space="preserve">Fica eleito o Foro da Justiça Federal em </w:t>
      </w:r>
      <w:r>
        <w:rPr>
          <w:color w:val="FF0000"/>
        </w:rPr>
        <w:t>......</w:t>
      </w:r>
      <w:r>
        <w:rPr/>
        <w:t xml:space="preserve">, Seção Judiciária de </w:t>
      </w:r>
      <w:r>
        <w:rPr>
          <w:color w:val="FF0000"/>
        </w:rPr>
        <w:t>......</w:t>
      </w:r>
      <w:r>
        <w:rPr/>
        <w:t xml:space="preserve"> para dirimir os litígios que decorrerem da execução deste Termo de Contrato que não puderem ser compostos pela conciliação, conforme </w:t>
      </w:r>
      <w:hyperlink r:id="rId51" w:tgtFrame="http://www.planalto.gov.br/ccivil_03/_ato2019-2022/2021/lei/L14133.htm#art92§1">
        <w:r>
          <w:rPr>
            <w:rStyle w:val="LinkdaInternet"/>
          </w:rPr>
          <w:t>art. 92, §1º, da Lei nº 14.133/21.</w:t>
        </w:r>
      </w:hyperlink>
    </w:p>
    <w:p>
      <w:pPr>
        <w:pStyle w:val="Nivel2"/>
        <w:numPr>
          <w:ilvl w:val="0"/>
          <w:numId w:val="0"/>
        </w:numPr>
        <w:spacing w:lineRule="auto" w:line="312" w:before="120" w:after="288"/>
        <w:ind w:left="0" w:firstLine="709"/>
        <w:rPr>
          <w:i/>
          <w:i/>
          <w:iCs/>
          <w:color w:val="auto"/>
        </w:rPr>
      </w:pPr>
      <w:r>
        <w:rPr>
          <w:i/>
          <w:iCs/>
          <w:color w:val="auto"/>
        </w:rPr>
        <w:t>[Local], [dia] de [mês] de [ano].</w:t>
      </w:r>
    </w:p>
    <w:p>
      <w:pPr>
        <w:pStyle w:val="Normal"/>
        <w:spacing w:lineRule="auto" w:line="312" w:before="120" w:after="288"/>
        <w:ind w:firstLine="709"/>
        <w:jc w:val="center"/>
        <w:rPr>
          <w:rFonts w:ascii="Arial" w:hAnsi="Arial" w:cs="Arial"/>
          <w:bCs/>
          <w:sz w:val="20"/>
          <w:szCs w:val="20"/>
        </w:rPr>
      </w:pPr>
      <w:r>
        <w:rPr>
          <w:rFonts w:cs="Arial" w:ascii="Arial" w:hAnsi="Arial"/>
          <w:bCs/>
          <w:sz w:val="20"/>
          <w:szCs w:val="20"/>
        </w:rPr>
        <w:t>_________________________</w:t>
      </w:r>
    </w:p>
    <w:p>
      <w:pPr>
        <w:pStyle w:val="Normal"/>
        <w:spacing w:lineRule="auto" w:line="312" w:before="120" w:after="288"/>
        <w:ind w:firstLine="709"/>
        <w:jc w:val="center"/>
        <w:rPr>
          <w:rFonts w:ascii="Arial" w:hAnsi="Arial" w:cs="Arial"/>
          <w:bCs/>
          <w:sz w:val="20"/>
          <w:szCs w:val="20"/>
        </w:rPr>
      </w:pPr>
      <w:r>
        <w:rPr>
          <w:rFonts w:cs="Arial" w:ascii="Arial" w:hAnsi="Arial"/>
          <w:bCs/>
          <w:sz w:val="20"/>
          <w:szCs w:val="20"/>
        </w:rPr>
        <w:t>Representante legal do CONTRATANTE</w:t>
      </w:r>
    </w:p>
    <w:p>
      <w:pPr>
        <w:pStyle w:val="Normal"/>
        <w:spacing w:lineRule="auto" w:line="312" w:before="120" w:after="288"/>
        <w:ind w:firstLine="709"/>
        <w:jc w:val="center"/>
        <w:rPr>
          <w:rFonts w:ascii="Arial" w:hAnsi="Arial" w:cs="Arial"/>
          <w:sz w:val="20"/>
          <w:szCs w:val="20"/>
        </w:rPr>
      </w:pPr>
      <w:r>
        <w:rPr>
          <w:rFonts w:cs="Arial" w:ascii="Arial" w:hAnsi="Arial"/>
          <w:sz w:val="20"/>
          <w:szCs w:val="20"/>
        </w:rPr>
        <w:t>_________________________</w:t>
      </w:r>
    </w:p>
    <w:p>
      <w:pPr>
        <w:pStyle w:val="Normal"/>
        <w:spacing w:lineRule="auto" w:line="312" w:before="120" w:after="288"/>
        <w:ind w:firstLine="709"/>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312" w:before="120" w:after="288"/>
        <w:ind w:firstLine="709"/>
        <w:jc w:val="both"/>
        <w:rPr>
          <w:rFonts w:ascii="Arial" w:hAnsi="Arial" w:cs="Arial"/>
          <w:i/>
          <w:i/>
          <w:iCs/>
          <w:sz w:val="20"/>
          <w:szCs w:val="20"/>
        </w:rPr>
      </w:pPr>
      <w:r>
        <w:rPr>
          <w:rFonts w:cs="Arial" w:ascii="Arial" w:hAnsi="Arial"/>
          <w:i/>
          <w:iCs/>
          <w:sz w:val="20"/>
          <w:szCs w:val="20"/>
        </w:rPr>
        <w:t>TESTEMUNHAS:</w:t>
      </w:r>
    </w:p>
    <w:sectPr>
      <w:headerReference w:type="even" r:id="rId52"/>
      <w:headerReference w:type="default" r:id="rId53"/>
      <w:headerReference w:type="first" r:id="rId54"/>
      <w:footerReference w:type="even" r:id="rId55"/>
      <w:footerReference w:type="default" r:id="rId56"/>
      <w:footerReference w:type="first" r:id="rId57"/>
      <w:type w:val="nextPage"/>
      <w:pgSz w:orient="landscape" w:w="11906" w:h="16838"/>
      <w:pgMar w:left="1134" w:right="1134" w:gutter="0" w:header="709" w:top="993" w:footer="709" w:bottom="1418"/>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Arial">
    <w:charset w:val="00"/>
    <w:family w:val="roman"/>
    <w:pitch w:val="variable"/>
  </w:font>
  <w:font w:name="Tahoma">
    <w:charset w:val="00"/>
    <w:family w:val="roman"/>
    <w:pitch w:val="variable"/>
  </w:font>
  <w:font w:name="Liberation Sans">
    <w:altName w:val="Arial"/>
    <w:charset w:val="00"/>
    <w:family w:val="roman"/>
    <w:pitch w:val="variable"/>
  </w:font>
  <w:font w:name="OpenSymbol">
    <w:altName w:val="Arial Unicode M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rFonts w:ascii="Arial" w:hAnsi="Arial" w:cs="Arial"/>
        <w:color w:val="548DD4" w:themeColor="text2" w:themeTint="99"/>
        <w:spacing w:val="60"/>
        <w:sz w:val="16"/>
        <w:szCs w:val="16"/>
      </w:rPr>
    </w:pPr>
    <w:r>
      <w:rPr>
        <w:rFonts w:cs="Arial" w:ascii="Arial" w:hAnsi="Arial"/>
        <w:color w:val="548DD4" w:themeColor="text2" w:themeTint="99"/>
        <w:spacing w:val="60"/>
        <w:sz w:val="22"/>
        <w:szCs w:val="22"/>
      </w:rPr>
      <w:tab/>
      <w:tab/>
    </w:r>
  </w:p>
  <w:p>
    <w:pPr>
      <w:pStyle w:val="Rodap"/>
      <w:rPr>
        <w:rFonts w:ascii="Arial" w:hAnsi="Arial" w:cs="Arial"/>
        <w:color w:val="7F7F7F" w:themeColor="text1" w:themeTint="80"/>
        <w:sz w:val="18"/>
        <w:szCs w:val="18"/>
      </w:rPr>
    </w:pPr>
    <w:r>
      <w:rPr>
        <w:rFonts w:cs="Arial" w:ascii="Arial" w:hAnsi="Arial"/>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themeColor="text1" w:themeTint="a6"/>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12</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themeColor="text1" w:themeTint="a6"/>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12</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maio/2023</w:t>
    </w:r>
  </w:p>
  <w:p>
    <w:pPr>
      <w:pStyle w:val="Rodap"/>
      <w:rPr>
        <w:rFonts w:ascii="Arial" w:hAnsi="Arial" w:cs="Arial"/>
        <w:sz w:val="14"/>
        <w:szCs w:val="14"/>
      </w:rPr>
    </w:pPr>
    <w:r>
      <w:rPr>
        <w:rFonts w:cs="Arial" w:ascii="Arial" w:hAnsi="Arial"/>
        <w:sz w:val="14"/>
        <w:szCs w:val="14"/>
      </w:rPr>
      <w:t>Termo de contrato modelo para Pregão Eletrônico – Serviços sem mão de obra em regime de dedicação exclusiva - Lei n.º 14.133, de 2021.</w:t>
    </w:r>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rPr>
    </w:pPr>
    <w:r>
      <w:rPr>
        <w:rFonts w:cs="Arial" w:ascii="Arial" w:hAnsi="Arial"/>
        <w:sz w:val="14"/>
        <w:szCs w:val="14"/>
      </w:rPr>
      <w:t>Identidade visual pela Secretaria de Gestão e Inovação</w:t>
    </w:r>
  </w:p>
  <w:p>
    <w:pPr>
      <w:pStyle w:val="Rodap"/>
      <w:rPr>
        <w:rFonts w:ascii="Arial" w:hAnsi="Arial" w:cs="Arial"/>
      </w:rPr>
    </w:pPr>
    <w:r>
      <w:rPr>
        <w:rFonts w:cs="Arial" w:ascii="Arial" w:hAnsi="Arial"/>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rFonts w:ascii="Arial" w:hAnsi="Arial" w:cs="Arial"/>
        <w:color w:val="548DD4" w:themeColor="text2" w:themeTint="99"/>
        <w:spacing w:val="60"/>
        <w:sz w:val="16"/>
        <w:szCs w:val="16"/>
      </w:rPr>
    </w:pPr>
    <w:r>
      <w:rPr>
        <w:rFonts w:cs="Arial" w:ascii="Arial" w:hAnsi="Arial"/>
        <w:color w:val="548DD4" w:themeColor="text2" w:themeTint="99"/>
        <w:spacing w:val="60"/>
        <w:sz w:val="22"/>
        <w:szCs w:val="22"/>
      </w:rPr>
      <w:tab/>
      <w:tab/>
    </w:r>
  </w:p>
  <w:p>
    <w:pPr>
      <w:pStyle w:val="Rodap"/>
      <w:rPr>
        <w:rFonts w:ascii="Arial" w:hAnsi="Arial" w:cs="Arial"/>
        <w:color w:val="7F7F7F" w:themeColor="text1" w:themeTint="80"/>
        <w:sz w:val="18"/>
        <w:szCs w:val="18"/>
      </w:rPr>
    </w:pPr>
    <w:r>
      <w:rPr>
        <w:rFonts w:cs="Arial" w:ascii="Arial" w:hAnsi="Arial"/>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themeColor="text1" w:themeTint="a6"/>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12</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themeColor="text1" w:themeTint="a6"/>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12</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maio/2023</w:t>
    </w:r>
  </w:p>
  <w:p>
    <w:pPr>
      <w:pStyle w:val="Rodap"/>
      <w:rPr>
        <w:rFonts w:ascii="Arial" w:hAnsi="Arial" w:cs="Arial"/>
        <w:sz w:val="14"/>
        <w:szCs w:val="14"/>
      </w:rPr>
    </w:pPr>
    <w:r>
      <w:rPr>
        <w:rFonts w:cs="Arial" w:ascii="Arial" w:hAnsi="Arial"/>
        <w:sz w:val="14"/>
        <w:szCs w:val="14"/>
      </w:rPr>
      <w:t>Termo de contrato modelo para Pregão Eletrônico – Serviços sem mão de obra em regime de dedicação exclusiva - Lei n.º 14.133, de 2021.</w:t>
    </w:r>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rPr>
    </w:pPr>
    <w:r>
      <w:rPr>
        <w:rFonts w:cs="Arial" w:ascii="Arial" w:hAnsi="Arial"/>
        <w:sz w:val="14"/>
        <w:szCs w:val="14"/>
      </w:rPr>
      <w:t>Identidade visual pela Secretaria de Gestão e Inovação</w:t>
    </w:r>
  </w:p>
  <w:p>
    <w:pPr>
      <w:pStyle w:val="Rodap"/>
      <w:rPr>
        <w:rFonts w:ascii="Arial" w:hAnsi="Arial" w:cs="Arial"/>
      </w:rPr>
    </w:pPr>
    <w:r>
      <w:rPr>
        <w:rFonts w:cs="Arial" w:ascii="Arial" w:hAnsi="Arial"/>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5112" w:type="dxa"/>
      <w:jc w:val="left"/>
      <w:tblInd w:w="3828" w:type="dxa"/>
      <w:tblLayout w:type="fixed"/>
      <w:tblCellMar>
        <w:top w:w="0" w:type="dxa"/>
        <w:left w:w="108" w:type="dxa"/>
        <w:bottom w:w="0" w:type="dxa"/>
        <w:right w:w="108" w:type="dxa"/>
      </w:tblCellMar>
      <w:tblLook w:firstRow="1" w:noVBand="1" w:lastRow="0" w:firstColumn="1" w:lastColumn="0" w:noHBand="1" w:val="06a0"/>
    </w:tblPr>
    <w:tblGrid>
      <w:gridCol w:w="9071"/>
      <w:gridCol w:w="3021"/>
      <w:gridCol w:w="3020"/>
    </w:tblGrid>
    <w:tr>
      <w:trPr>
        <w:trHeight w:val="300" w:hRule="atLeast"/>
      </w:trPr>
      <w:tc>
        <w:tcPr>
          <w:tcW w:w="9071" w:type="dxa"/>
          <w:tcBorders/>
        </w:tcPr>
        <w:p>
          <w:pPr>
            <w:pStyle w:val="Cabealho"/>
            <w:widowControl w:val="false"/>
            <w:ind w:left="-115" w:hanging="0"/>
            <w:rPr>
              <w:rFonts w:ascii="Arial" w:hAnsi="Arial" w:cs="Arial"/>
              <w:sz w:val="20"/>
              <w:szCs w:val="20"/>
            </w:rPr>
          </w:pPr>
          <w:r>
            <w:rPr>
              <w:rFonts w:cs="Arial" w:ascii="Arial" w:hAnsi="Arial"/>
              <w:sz w:val="20"/>
              <w:szCs w:val="20"/>
            </w:rPr>
            <w:t>TERMO DE CONTRATO ADMINISTRATIVO Nº XXXX/XXXX</w:t>
          </w:r>
        </w:p>
        <w:p>
          <w:pPr>
            <w:pStyle w:val="Cabealho"/>
            <w:widowControl w:val="false"/>
            <w:ind w:left="-115" w:hanging="0"/>
            <w:rPr/>
          </w:pPr>
          <w:r>
            <w:rPr/>
          </w:r>
        </w:p>
      </w:tc>
      <w:tc>
        <w:tcPr>
          <w:tcW w:w="3021" w:type="dxa"/>
          <w:tcBorders/>
        </w:tcPr>
        <w:p>
          <w:pPr>
            <w:pStyle w:val="Cabealho"/>
            <w:widowControl w:val="false"/>
            <w:jc w:val="center"/>
            <w:rPr/>
          </w:pPr>
          <w:r>
            <w:rPr/>
          </w:r>
        </w:p>
      </w:tc>
      <w:tc>
        <w:tcPr>
          <w:tcW w:w="3020" w:type="dxa"/>
          <w:tcBorders/>
        </w:tcPr>
        <w:p>
          <w:pPr>
            <w:pStyle w:val="Cabealho"/>
            <w:widowControl w:val="false"/>
            <w:ind w:right="-115" w:hanging="0"/>
            <w:jc w:val="right"/>
            <w:rPr/>
          </w:pPr>
          <w:r>
            <w:rPr/>
          </w:r>
        </w:p>
      </w:tc>
    </w:tr>
  </w:tbl>
  <w:p>
    <w:pPr>
      <w:pStyle w:val="Cabealho"/>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5112" w:type="dxa"/>
      <w:jc w:val="left"/>
      <w:tblInd w:w="3828" w:type="dxa"/>
      <w:tblLayout w:type="fixed"/>
      <w:tblCellMar>
        <w:top w:w="0" w:type="dxa"/>
        <w:left w:w="108" w:type="dxa"/>
        <w:bottom w:w="0" w:type="dxa"/>
        <w:right w:w="108" w:type="dxa"/>
      </w:tblCellMar>
      <w:tblLook w:firstRow="1" w:noVBand="1" w:lastRow="0" w:firstColumn="1" w:lastColumn="0" w:noHBand="1" w:val="06a0"/>
    </w:tblPr>
    <w:tblGrid>
      <w:gridCol w:w="9071"/>
      <w:gridCol w:w="3021"/>
      <w:gridCol w:w="3020"/>
    </w:tblGrid>
    <w:tr>
      <w:trPr>
        <w:trHeight w:val="300" w:hRule="atLeast"/>
      </w:trPr>
      <w:tc>
        <w:tcPr>
          <w:tcW w:w="9071" w:type="dxa"/>
          <w:tcBorders/>
        </w:tcPr>
        <w:p>
          <w:pPr>
            <w:pStyle w:val="Cabealho"/>
            <w:widowControl w:val="false"/>
            <w:ind w:left="-115" w:hanging="0"/>
            <w:rPr>
              <w:rFonts w:ascii="Arial" w:hAnsi="Arial" w:cs="Arial"/>
              <w:sz w:val="20"/>
              <w:szCs w:val="20"/>
            </w:rPr>
          </w:pPr>
          <w:r>
            <w:rPr>
              <w:rFonts w:cs="Arial" w:ascii="Arial" w:hAnsi="Arial"/>
              <w:sz w:val="20"/>
              <w:szCs w:val="20"/>
            </w:rPr>
            <w:t>TERMO DE CONTRATO ADMINISTRATIVO Nº XXXX/XXXX</w:t>
          </w:r>
        </w:p>
        <w:p>
          <w:pPr>
            <w:pStyle w:val="Cabealho"/>
            <w:widowControl w:val="false"/>
            <w:ind w:left="-115" w:hanging="0"/>
            <w:rPr/>
          </w:pPr>
          <w:r>
            <w:rPr/>
          </w:r>
        </w:p>
      </w:tc>
      <w:tc>
        <w:tcPr>
          <w:tcW w:w="3021" w:type="dxa"/>
          <w:tcBorders/>
        </w:tcPr>
        <w:p>
          <w:pPr>
            <w:pStyle w:val="Cabealho"/>
            <w:widowControl w:val="false"/>
            <w:jc w:val="center"/>
            <w:rPr/>
          </w:pPr>
          <w:r>
            <w:rPr/>
          </w:r>
        </w:p>
      </w:tc>
      <w:tc>
        <w:tcPr>
          <w:tcW w:w="3020" w:type="dxa"/>
          <w:tcBorders/>
        </w:tcPr>
        <w:p>
          <w:pPr>
            <w:pStyle w:val="Cabealho"/>
            <w:widowControl w:val="false"/>
            <w:ind w:right="-115" w:hanging="0"/>
            <w:jc w:val="right"/>
            <w:rPr/>
          </w:pPr>
          <w:r>
            <w:rPr/>
          </w:r>
        </w:p>
      </w:tc>
    </w:tr>
  </w:tbl>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24"/>
        <w:b w:val="false"/>
      </w:rPr>
    </w:lvl>
    <w:lvl w:ilvl="1">
      <w:start w:val="1"/>
      <w:numFmt w:val="decimal"/>
      <w:lvlText w:val="%1.%2."/>
      <w:lvlJc w:val="left"/>
      <w:pPr>
        <w:tabs>
          <w:tab w:val="num" w:pos="0"/>
        </w:tabs>
        <w:ind w:left="4969" w:hanging="432"/>
      </w:pPr>
      <w:rPr>
        <w:dstrike w:val="false"/>
        <w:strike w:val="false"/>
        <w:sz w:val="24"/>
        <w:i w:val="false"/>
        <w:u w:val="none"/>
        <w:b/>
        <w:szCs w:val="20"/>
        <w:rFonts w:ascii="Times New Roman" w:hAnsi="Times New Roman"/>
        <w:color w:val="auto"/>
      </w:rPr>
    </w:lvl>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0"/>
      <w:numFmt w:val="bullet"/>
      <w:lvlText w:val=""/>
      <w:lvlJc w:val="left"/>
      <w:pPr>
        <w:tabs>
          <w:tab w:val="num" w:pos="0"/>
        </w:tabs>
        <w:ind w:left="0" w:hanging="0"/>
      </w:pPr>
      <w:rPr>
        <w:rFonts w:ascii="OpenSymbol" w:hAnsi="OpenSymbol" w:cs="OpenSymbol" w:hint="default"/>
      </w:rPr>
    </w:lvl>
    <w:lvl w:ilvl="2">
      <w:start w:val="0"/>
      <w:numFmt w:val="bullet"/>
      <w:lvlText w:val=""/>
      <w:lvlJc w:val="left"/>
      <w:pPr>
        <w:tabs>
          <w:tab w:val="num" w:pos="0"/>
        </w:tabs>
        <w:ind w:left="0" w:hanging="0"/>
      </w:pPr>
      <w:rPr>
        <w:rFonts w:ascii="OpenSymbol" w:hAnsi="OpenSymbol" w:cs="OpenSymbol" w:hint="default"/>
      </w:rPr>
    </w:lvl>
    <w:lvl w:ilvl="3">
      <w:start w:val="0"/>
      <w:numFmt w:val="bullet"/>
      <w:lvlText w:val=""/>
      <w:lvlJc w:val="left"/>
      <w:pPr>
        <w:tabs>
          <w:tab w:val="num" w:pos="0"/>
        </w:tabs>
        <w:ind w:left="0" w:hanging="0"/>
      </w:pPr>
      <w:rPr>
        <w:rFonts w:ascii="OpenSymbol" w:hAnsi="OpenSymbol" w:cs="OpenSymbol" w:hint="default"/>
      </w:rPr>
    </w:lvl>
    <w:lvl w:ilvl="4">
      <w:start w:val="0"/>
      <w:numFmt w:val="bullet"/>
      <w:lvlText w:val=""/>
      <w:lvlJc w:val="left"/>
      <w:pPr>
        <w:tabs>
          <w:tab w:val="num" w:pos="0"/>
        </w:tabs>
        <w:ind w:left="0" w:hanging="0"/>
      </w:pPr>
      <w:rPr>
        <w:rFonts w:ascii="OpenSymbol" w:hAnsi="OpenSymbol" w:cs="OpenSymbol" w:hint="default"/>
      </w:rPr>
    </w:lvl>
    <w:lvl w:ilvl="5">
      <w:start w:val="0"/>
      <w:numFmt w:val="bullet"/>
      <w:lvlText w:val=""/>
      <w:lvlJc w:val="left"/>
      <w:pPr>
        <w:tabs>
          <w:tab w:val="num" w:pos="0"/>
        </w:tabs>
        <w:ind w:left="0" w:hanging="0"/>
      </w:pPr>
      <w:rPr>
        <w:rFonts w:ascii="OpenSymbol" w:hAnsi="OpenSymbol" w:cs="OpenSymbol" w:hint="default"/>
      </w:rPr>
    </w:lvl>
    <w:lvl w:ilvl="6">
      <w:start w:val="0"/>
      <w:numFmt w:val="bullet"/>
      <w:lvlText w:val=""/>
      <w:lvlJc w:val="left"/>
      <w:pPr>
        <w:tabs>
          <w:tab w:val="num" w:pos="0"/>
        </w:tabs>
        <w:ind w:left="0" w:hanging="0"/>
      </w:pPr>
      <w:rPr>
        <w:rFonts w:ascii="OpenSymbol" w:hAnsi="OpenSymbol" w:cs="OpenSymbol" w:hint="default"/>
      </w:rPr>
    </w:lvl>
    <w:lvl w:ilvl="7">
      <w:start w:val="0"/>
      <w:numFmt w:val="bullet"/>
      <w:lvlText w:val=""/>
      <w:lvlJc w:val="left"/>
      <w:pPr>
        <w:tabs>
          <w:tab w:val="num" w:pos="0"/>
        </w:tabs>
        <w:ind w:left="0" w:hanging="0"/>
      </w:pPr>
      <w:rPr>
        <w:rFonts w:ascii="OpenSymbol" w:hAnsi="OpenSymbol" w:cs="OpenSymbol" w:hint="default"/>
      </w:rPr>
    </w:lvl>
    <w:lvl w:ilvl="8">
      <w:start w:val="0"/>
      <w:numFmt w:val="bullet"/>
      <w:lvlText w:val=""/>
      <w:lvlJc w:val="left"/>
      <w:pPr>
        <w:tabs>
          <w:tab w:val="num" w:pos="0"/>
        </w:tabs>
        <w:ind w:left="0" w:hanging="0"/>
      </w:pPr>
      <w:rPr>
        <w:rFonts w:ascii="OpenSymbol" w:hAnsi="OpenSymbol" w:cs="OpenSymbol" w:hint="default"/>
      </w:rPr>
    </w:lvl>
  </w:abstractNum>
  <w:abstractNum w:abstractNumId="3">
    <w:lvl w:ilvl="0">
      <w:start w:val="1"/>
      <w:numFmt w:val="lowerLetter"/>
      <w:lvlText w:val="%1)"/>
      <w:lvlJc w:val="left"/>
      <w:pPr>
        <w:tabs>
          <w:tab w:val="num" w:pos="0"/>
        </w:tabs>
        <w:ind w:left="1436" w:hanging="360"/>
      </w:pPr>
      <w:rPr/>
    </w:lvl>
    <w:lvl w:ilvl="1">
      <w:start w:val="1"/>
      <w:numFmt w:val="lowerLetter"/>
      <w:lvlText w:val="%2."/>
      <w:lvlJc w:val="left"/>
      <w:pPr>
        <w:tabs>
          <w:tab w:val="num" w:pos="0"/>
        </w:tabs>
        <w:ind w:left="2156" w:hanging="360"/>
      </w:pPr>
      <w:rPr/>
    </w:lvl>
    <w:lvl w:ilvl="2">
      <w:start w:val="1"/>
      <w:numFmt w:val="lowerRoman"/>
      <w:lvlText w:val="%3."/>
      <w:lvlJc w:val="right"/>
      <w:pPr>
        <w:tabs>
          <w:tab w:val="num" w:pos="0"/>
        </w:tabs>
        <w:ind w:left="2876" w:hanging="180"/>
      </w:pPr>
      <w:rPr/>
    </w:lvl>
    <w:lvl w:ilvl="3">
      <w:start w:val="1"/>
      <w:numFmt w:val="decimal"/>
      <w:lvlText w:val="%4."/>
      <w:lvlJc w:val="left"/>
      <w:pPr>
        <w:tabs>
          <w:tab w:val="num" w:pos="0"/>
        </w:tabs>
        <w:ind w:left="3596" w:hanging="360"/>
      </w:pPr>
      <w:rPr/>
    </w:lvl>
    <w:lvl w:ilvl="4">
      <w:start w:val="1"/>
      <w:numFmt w:val="lowerLetter"/>
      <w:lvlText w:val="%5."/>
      <w:lvlJc w:val="left"/>
      <w:pPr>
        <w:tabs>
          <w:tab w:val="num" w:pos="0"/>
        </w:tabs>
        <w:ind w:left="4316" w:hanging="360"/>
      </w:pPr>
      <w:rPr/>
    </w:lvl>
    <w:lvl w:ilvl="5">
      <w:start w:val="1"/>
      <w:numFmt w:val="lowerRoman"/>
      <w:lvlText w:val="%6."/>
      <w:lvlJc w:val="right"/>
      <w:pPr>
        <w:tabs>
          <w:tab w:val="num" w:pos="0"/>
        </w:tabs>
        <w:ind w:left="5036" w:hanging="180"/>
      </w:pPr>
      <w:rPr/>
    </w:lvl>
    <w:lvl w:ilvl="6">
      <w:start w:val="1"/>
      <w:numFmt w:val="decimal"/>
      <w:lvlText w:val="%7."/>
      <w:lvlJc w:val="left"/>
      <w:pPr>
        <w:tabs>
          <w:tab w:val="num" w:pos="0"/>
        </w:tabs>
        <w:ind w:left="5756" w:hanging="360"/>
      </w:pPr>
      <w:rPr/>
    </w:lvl>
    <w:lvl w:ilvl="7">
      <w:start w:val="1"/>
      <w:numFmt w:val="lowerLetter"/>
      <w:lvlText w:val="%8."/>
      <w:lvlJc w:val="left"/>
      <w:pPr>
        <w:tabs>
          <w:tab w:val="num" w:pos="0"/>
        </w:tabs>
        <w:ind w:left="6476" w:hanging="360"/>
      </w:pPr>
      <w:rPr/>
    </w:lvl>
    <w:lvl w:ilvl="8">
      <w:start w:val="1"/>
      <w:numFmt w:val="lowerRoman"/>
      <w:lvlText w:val="%9."/>
      <w:lvlJc w:val="right"/>
      <w:pPr>
        <w:tabs>
          <w:tab w:val="num" w:pos="0"/>
        </w:tabs>
        <w:ind w:left="7196" w:hanging="180"/>
      </w:pPr>
      <w:rPr/>
    </w:lvl>
  </w:abstractNum>
  <w:abstractNum w:abstractNumId="4">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360" w:hanging="360"/>
      </w:pPr>
      <w:rPr>
        <w:i w:val="false"/>
        <w:b/>
      </w:rPr>
    </w:lvl>
    <w:lvl w:ilvl="1">
      <w:start w:val="1"/>
      <w:numFmt w:val="upperRoman"/>
      <w:lvlText w:val="%2."/>
      <w:lvlJc w:val="right"/>
      <w:pPr>
        <w:tabs>
          <w:tab w:val="num" w:pos="0"/>
        </w:tabs>
        <w:ind w:left="360" w:hanging="360"/>
      </w:pPr>
      <w:rPr/>
    </w:lvl>
    <w:lvl w:ilvl="2">
      <w:start w:val="1"/>
      <w:numFmt w:val="decimal"/>
      <w:suff w:val="space"/>
      <w:lvlText w:val="%1.%2.%3."/>
      <w:lvlJc w:val="left"/>
      <w:pPr>
        <w:tabs>
          <w:tab w:val="num" w:pos="0"/>
        </w:tabs>
        <w:ind w:left="1135" w:hanging="0"/>
      </w:pPr>
      <w:rPr>
        <w:i w:val="false"/>
        <w:b w:val="false"/>
      </w:rPr>
    </w:lvl>
    <w:lvl w:ilvl="3">
      <w:start w:val="1"/>
      <w:numFmt w:val="decimal"/>
      <w:suff w:val="space"/>
      <w:lvlText w:val="%1.%2.%3.%4."/>
      <w:lvlJc w:val="left"/>
      <w:pPr>
        <w:tabs>
          <w:tab w:val="num" w:pos="0"/>
        </w:tabs>
        <w:ind w:left="851" w:hanging="0"/>
      </w:pPr>
      <w:rPr>
        <w:i w:val="false"/>
        <w:b/>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6">
    <w:lvl w:ilvl="0">
      <w:start w:val="19"/>
      <w:numFmt w:val="decimal"/>
      <w:lvlText w:val="%1."/>
      <w:lvlJc w:val="left"/>
      <w:pPr>
        <w:tabs>
          <w:tab w:val="num" w:pos="0"/>
        </w:tabs>
        <w:ind w:left="360" w:hanging="360"/>
      </w:pPr>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720" w:hanging="360"/>
      </w:pPr>
      <w:rPr/>
    </w:lvl>
    <w:lvl w:ilvl="2">
      <w:start w:val="1"/>
      <w:numFmt w:val="lowerRoman"/>
      <w:lvlText w:val="%3)"/>
      <w:lvlJc w:val="left"/>
      <w:pPr>
        <w:tabs>
          <w:tab w:val="num" w:pos="0"/>
        </w:tabs>
        <w:ind w:left="1080" w:hanging="360"/>
      </w:pPr>
      <w:rPr/>
    </w:lvl>
    <w:lvl w:ilvl="3">
      <w:start w:val="1"/>
      <w:numFmt w:val="decimal"/>
      <w:lvlText w:val="(%4)"/>
      <w:lvlJc w:val="left"/>
      <w:pPr>
        <w:tabs>
          <w:tab w:val="num" w:pos="0"/>
        </w:tabs>
        <w:ind w:left="1440" w:hanging="360"/>
      </w:pPr>
      <w:rPr>
        <w:i w:val="false"/>
      </w:rPr>
    </w:lvl>
    <w:lvl w:ilvl="4">
      <w:start w:val="1"/>
      <w:numFmt w:val="lowerLetter"/>
      <w:lvlText w:val="(%5)"/>
      <w:lvlJc w:val="left"/>
      <w:pPr>
        <w:tabs>
          <w:tab w:val="num" w:pos="0"/>
        </w:tabs>
        <w:ind w:left="1800" w:hanging="360"/>
      </w:pPr>
      <w:rPr/>
    </w:lvl>
    <w:lvl w:ilvl="5">
      <w:start w:val="1"/>
      <w:numFmt w:val="lowerRoman"/>
      <w:lvlText w:val="(%6)"/>
      <w:lvlJc w:val="left"/>
      <w:pPr>
        <w:tabs>
          <w:tab w:val="num" w:pos="0"/>
        </w:tabs>
        <w:ind w:left="2160" w:hanging="360"/>
      </w:pPr>
      <w:rPr/>
    </w:lvl>
    <w:lvl w:ilvl="6">
      <w:start w:val="1"/>
      <w:numFmt w:val="decimal"/>
      <w:lvlText w:val="%7."/>
      <w:lvlJc w:val="left"/>
      <w:pPr>
        <w:tabs>
          <w:tab w:val="num" w:pos="0"/>
        </w:tabs>
        <w:ind w:left="2520" w:hanging="360"/>
      </w:pPr>
      <w:rPr/>
    </w:lvl>
    <w:lvl w:ilvl="7">
      <w:start w:val="1"/>
      <w:numFmt w:val="lowerLetter"/>
      <w:lvlText w:val="%8."/>
      <w:lvlJc w:val="left"/>
      <w:pPr>
        <w:tabs>
          <w:tab w:val="num" w:pos="0"/>
        </w:tabs>
        <w:ind w:left="2880" w:hanging="360"/>
      </w:pPr>
      <w:rPr/>
    </w:lvl>
    <w:lvl w:ilvl="8">
      <w:start w:val="1"/>
      <w:numFmt w:val="lowerRoman"/>
      <w:lvlText w:val="%9."/>
      <w:lvlJc w:val="left"/>
      <w:pPr>
        <w:tabs>
          <w:tab w:val="num" w:pos="0"/>
        </w:tabs>
        <w:ind w:left="3240" w:hanging="360"/>
      </w:pPr>
      <w:rPr/>
    </w:lvl>
  </w:abstractNum>
  <w:abstractNum w:abstractNumI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8"/>
    <w:lvlOverride w:ilvl="0">
      <w:startOverride w:val="1"/>
    </w:lvlOverride>
  </w:num>
  <w:num w:numId="122">
    <w:abstractNumId w:val="8"/>
  </w:num>
  <w:num w:numId="123">
    <w:abstractNumId w:val="8"/>
  </w:num>
  <w:num w:numId="124">
    <w:abstractNumId w:val="8"/>
  </w:num>
  <w:num w:numId="125">
    <w:abstractNumId w:val="8"/>
  </w:num>
  <w:num w:numId="126">
    <w:abstractNumId w:val="8"/>
  </w:num>
  <w:num w:numId="127">
    <w:abstractNumId w:val="8"/>
  </w:num>
  <w:num w:numId="128">
    <w:abstractNumId w:val="8"/>
  </w:num>
  <w:num w:numId="129">
    <w:abstractNumId w:val="8"/>
  </w:num>
  <w:num w:numId="130">
    <w:abstractNumId w:val="8"/>
  </w:num>
  <w:num w:numId="131">
    <w:abstractNumId w:val="8"/>
  </w:num>
  <w:num w:numId="132">
    <w:abstractNumId w:val="8"/>
  </w:num>
  <w:num w:numId="133">
    <w:abstractNumId w:val="8"/>
  </w:num>
  <w:num w:numId="134">
    <w:abstractNumId w:val="8"/>
  </w:num>
  <w:num w:numId="135">
    <w:abstractNumId w:val="8"/>
  </w:num>
  <w:num w:numId="136">
    <w:abstractNumId w:val="8"/>
  </w:num>
  <w:num w:numId="137">
    <w:abstractNumId w:val="8"/>
  </w:num>
  <w:num w:numId="138">
    <w:abstractNumId w:val="8"/>
  </w:num>
  <w:num w:numId="139">
    <w:abstractNumId w:val="8"/>
  </w:num>
  <w:num w:numId="140">
    <w:abstractNumId w:val="8"/>
  </w:num>
  <w:num w:numId="141">
    <w:abstractNumId w:val="8"/>
  </w:num>
  <w:num w:numId="142">
    <w:abstractNumId w:val="8"/>
  </w:num>
  <w:num w:numId="143">
    <w:abstractNumId w:val="8"/>
  </w:num>
  <w:num w:numId="144">
    <w:abstractNumId w:val="8"/>
  </w:num>
  <w:num w:numId="145">
    <w:abstractNumId w:val="8"/>
  </w:num>
  <w:num w:numId="146">
    <w:abstractNumId w:val="8"/>
  </w:num>
  <w:num w:numId="147">
    <w:abstractNumId w:val="8"/>
  </w:num>
  <w:num w:numId="148">
    <w:abstractNumId w:val="8"/>
  </w:num>
  <w:num w:numId="149">
    <w:abstractNumId w:val="8"/>
  </w:num>
  <w:num w:numId="150">
    <w:abstractNumId w:val="8"/>
  </w:num>
  <w:num w:numId="151">
    <w:abstractNumId w:val="8"/>
  </w:num>
  <w:num w:numId="152">
    <w:abstractNumId w:val="8"/>
  </w:num>
  <w:num w:numId="153">
    <w:abstractNumId w:val="8"/>
  </w:num>
  <w:num w:numId="154">
    <w:abstractNumId w:val="8"/>
  </w:num>
  <w:num w:numId="155">
    <w:abstractNumId w:val="8"/>
  </w:num>
  <w:num w:numId="156">
    <w:abstractNumId w:val="8"/>
  </w:num>
  <w:num w:numId="157">
    <w:abstractNumId w:val="8"/>
  </w:num>
  <w:num w:numId="158">
    <w:abstractNumId w:val="8"/>
  </w:num>
  <w:num w:numId="159">
    <w:abstractNumId w:val="8"/>
  </w:num>
  <w:num w:numId="160">
    <w:abstractNumId w:val="8"/>
  </w:num>
  <w:num w:numId="161">
    <w:abstractNumId w:val="8"/>
  </w:num>
  <w:num w:numId="162">
    <w:abstractNumId w:val="8"/>
  </w:num>
  <w:num w:numId="163">
    <w:abstractNumId w:val="8"/>
  </w:num>
  <w:num w:numId="164">
    <w:abstractNumId w:val="8"/>
  </w:num>
  <w:num w:numId="165">
    <w:abstractNumId w:val="8"/>
  </w:num>
  <w:num w:numId="166">
    <w:abstractNumId w:val="8"/>
  </w:num>
  <w:num w:numId="167">
    <w:abstractNumId w:val="8"/>
  </w:num>
  <w:num w:numId="168">
    <w:abstractNumId w:val="8"/>
  </w:num>
  <w:num w:numId="169">
    <w:abstractNumId w:val="8"/>
  </w:num>
  <w:num w:numId="170">
    <w:abstractNumId w:val="8"/>
  </w:num>
  <w:num w:numId="171">
    <w:abstractNumId w:val="8"/>
  </w:num>
  <w:num w:numId="172">
    <w:abstractNumId w:val="8"/>
  </w:num>
  <w:num w:numId="173">
    <w:abstractNumId w:val="8"/>
  </w:num>
  <w:num w:numId="174">
    <w:abstractNumId w:val="8"/>
  </w:num>
  <w:num w:numId="175">
    <w:abstractNumId w:val="8"/>
  </w:num>
  <w:num w:numId="176">
    <w:abstractNumId w:val="8"/>
  </w:num>
  <w:num w:numId="177">
    <w:abstractNumId w:val="8"/>
  </w:num>
  <w:num w:numId="178">
    <w:abstractNumId w:val="8"/>
  </w:num>
  <w:num w:numId="179">
    <w:abstractNumId w:val="8"/>
  </w:num>
  <w:num w:numId="180">
    <w:abstractNumId w:val="8"/>
  </w:num>
  <w:num w:numId="181">
    <w:abstractNumId w:val="8"/>
  </w:num>
  <w:num w:numId="182">
    <w:abstractNumId w:val="8"/>
  </w:num>
  <w:num w:numId="183">
    <w:abstractNumId w:val="8"/>
  </w:num>
  <w:num w:numId="184">
    <w:abstractNumId w:val="8"/>
  </w:num>
  <w:num w:numId="185">
    <w:abstractNumId w:val="8"/>
  </w:num>
  <w:num w:numId="186">
    <w:abstractNumId w:val="8"/>
  </w:num>
  <w:num w:numId="187">
    <w:abstractNumId w:val="8"/>
  </w:num>
  <w:num w:numId="188">
    <w:abstractNumId w:val="8"/>
  </w:num>
  <w:num w:numId="189">
    <w:abstractNumId w:val="8"/>
  </w:num>
  <w:num w:numId="190">
    <w:abstractNumId w:val="8"/>
  </w:num>
  <w:num w:numId="191">
    <w:abstractNumId w:val="8"/>
  </w:num>
  <w:num w:numId="192">
    <w:abstractNumId w:val="8"/>
  </w:num>
  <w:num w:numId="193">
    <w:abstractNumId w:val="8"/>
  </w:num>
  <w:num w:numId="194">
    <w:abstractNumId w:val="8"/>
  </w:num>
  <w:num w:numId="195">
    <w:abstractNumId w:val="8"/>
  </w:num>
  <w:num w:numId="196">
    <w:abstractNumId w:val="8"/>
  </w:num>
  <w:num w:numId="197">
    <w:abstractNumId w:val="8"/>
  </w:num>
  <w:num w:numId="198">
    <w:abstractNumId w:val="8"/>
  </w:num>
  <w:num w:numId="199">
    <w:abstractNumId w:val="8"/>
  </w:num>
  <w:num w:numId="200">
    <w:abstractNumId w:val="8"/>
  </w:num>
  <w:num w:numId="201">
    <w:abstractNumId w:val="8"/>
  </w:num>
  <w:num w:numId="202">
    <w:abstractNumId w:val="8"/>
  </w:num>
  <w:num w:numId="203">
    <w:abstractNumId w:val="8"/>
  </w:num>
  <w:num w:numId="204">
    <w:abstractNumId w:val="8"/>
  </w:num>
  <w:num w:numId="205">
    <w:abstractNumId w:val="8"/>
  </w:num>
  <w:num w:numId="206">
    <w:abstractNumId w:val="8"/>
  </w:num>
  <w:num w:numId="207">
    <w:abstractNumId w:val="8"/>
  </w:num>
  <w:num w:numId="208">
    <w:abstractNumId w:val="8"/>
  </w:num>
  <w:num w:numId="209">
    <w:abstractNumId w:val="8"/>
  </w:num>
  <w:num w:numId="210">
    <w:abstractNumId w:val="8"/>
  </w:num>
  <w:num w:numId="211">
    <w:abstractNumId w:val="8"/>
  </w:num>
  <w:num w:numId="212">
    <w:abstractNumId w:val="8"/>
  </w:num>
  <w:num w:numId="213">
    <w:abstractNumId w:val="8"/>
  </w:num>
  <w:num w:numId="214">
    <w:abstractNumId w:val="8"/>
  </w:num>
  <w:num w:numId="215">
    <w:abstractNumId w:val="8"/>
  </w:num>
  <w:num w:numId="216">
    <w:abstractNumId w:val="8"/>
  </w:num>
  <w:num w:numId="217">
    <w:abstractNumId w:val="8"/>
  </w:num>
  <w:num w:numId="218">
    <w:abstractNumId w:val="8"/>
  </w:num>
  <w:num w:numId="219">
    <w:abstractNumId w:val="8"/>
  </w:num>
  <w:num w:numId="220">
    <w:abstractNumId w:val="8"/>
  </w:num>
  <w:num w:numId="221">
    <w:abstractNumId w:val="8"/>
  </w:num>
  <w:num w:numId="222">
    <w:abstractNumId w:val="8"/>
  </w:num>
  <w:num w:numId="223">
    <w:abstractNumId w:val="8"/>
  </w:num>
  <w:num w:numId="224">
    <w:abstractNumId w:val="8"/>
  </w:num>
  <w:num w:numId="225">
    <w:abstractNumId w:val="8"/>
  </w:num>
  <w:num w:numId="226">
    <w:abstractNumId w:val="8"/>
  </w:num>
  <w:num w:numId="227">
    <w:abstractNumId w:val="8"/>
  </w:num>
  <w:num w:numId="228">
    <w:abstractNumId w:val="8"/>
  </w:num>
  <w:num w:numId="229">
    <w:abstractNumId w:val="8"/>
  </w:num>
  <w:num w:numId="230">
    <w:abstractNumId w:val="8"/>
  </w:num>
  <w:num w:numId="231">
    <w:abstractNumId w:val="8"/>
  </w:num>
  <w:num w:numId="232">
    <w:abstractNumId w:val="8"/>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rial" w:cs="Times New Roman" w:eastAsiaTheme="minorEastAsia"/>
        <w:lang w:val="pt-B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0"/>
      <w:jc w:val="left"/>
    </w:pPr>
    <w:rPr>
      <w:rFonts w:ascii="Ecofont_Spranq_eco_Sans" w:hAnsi="Ecofont_Spranq_eco_Sans" w:eastAsia="Arial" w:cs="Tahoma" w:eastAsiaTheme="minorEastAsia"/>
      <w:color w:val="auto"/>
      <w:kern w:val="0"/>
      <w:sz w:val="24"/>
      <w:szCs w:val="24"/>
      <w:lang w:val="pt-BR" w:eastAsia="pt-BR" w:bidi="ar-SA"/>
    </w:rPr>
  </w:style>
  <w:style w:type="paragraph" w:styleId="Ttulo1">
    <w:name w:val="Heading 1"/>
    <w:basedOn w:val="Normal"/>
    <w:uiPriority w:val="9"/>
    <w:qFormat/>
    <w:pPr>
      <w:keepNext w:val="true"/>
      <w:keepLines/>
      <w:spacing w:before="480" w:after="0"/>
      <w:outlineLvl w:val="0"/>
    </w:pPr>
    <w:rPr>
      <w:rFonts w:ascii="Calibri" w:hAnsi="Calibri" w:eastAsia="Arial" w:cs="Arial" w:asciiTheme="majorHAnsi" w:cstheme="majorBidi" w:eastAsiaTheme="majorEastAsia" w:hAnsiTheme="majorHAnsi"/>
      <w:b/>
      <w:bCs/>
      <w:color w:val="365F91" w:themeColor="accent1" w:themeShade="bf"/>
      <w:sz w:val="28"/>
      <w:szCs w:val="28"/>
    </w:rPr>
  </w:style>
  <w:style w:type="paragraph" w:styleId="Ttulo2">
    <w:name w:val="Heading 2"/>
    <w:basedOn w:val="Normal"/>
    <w:qFormat/>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uiPriority w:val="9"/>
    <w:semiHidden/>
    <w:unhideWhenUsed/>
    <w:qFormat/>
    <w:pPr>
      <w:keepNext w:val="true"/>
      <w:keepLines/>
      <w:spacing w:lineRule="auto" w:line="259" w:before="40" w:after="0"/>
      <w:outlineLvl w:val="2"/>
    </w:pPr>
    <w:rPr>
      <w:rFonts w:ascii="Calibri" w:hAnsi="Calibri" w:eastAsia="Arial" w:cs="Arial" w:asciiTheme="majorHAnsi" w:cstheme="majorBidi" w:eastAsiaTheme="majorEastAsia" w:hAnsiTheme="majorHAnsi"/>
      <w:color w:val="243F60" w:themeColor="accent1" w:themeShade="7f"/>
      <w:lang w:eastAsia="en-US"/>
    </w:rPr>
  </w:style>
  <w:style w:type="paragraph" w:styleId="Ttulo4">
    <w:name w:val="Heading 4"/>
    <w:basedOn w:val="Normal"/>
    <w:semiHidden/>
    <w:unhideWhenUsed/>
    <w:qFormat/>
    <w:pPr>
      <w:keepNext w:val="true"/>
      <w:keepLines/>
      <w:spacing w:before="40" w:after="0"/>
      <w:outlineLvl w:val="3"/>
    </w:pPr>
    <w:rPr>
      <w:rFonts w:ascii="Calibri" w:hAnsi="Calibri" w:eastAsia="Arial" w:cs="Arial" w:asciiTheme="majorHAnsi" w:cstheme="majorBidi" w:eastAsiaTheme="majorEastAsia" w:hAnsiTheme="majorHAnsi"/>
      <w:i/>
      <w:iCs/>
      <w:color w:val="365F91" w:themeColor="accent1" w:themeShade="bf"/>
    </w:rPr>
  </w:style>
  <w:style w:type="paragraph" w:styleId="Ttulo5">
    <w:name w:val="Heading 5"/>
    <w:basedOn w:val="Normal"/>
    <w:uiPriority w:val="9"/>
    <w:unhideWhenUsed/>
    <w:qFormat/>
    <w:pPr>
      <w:keepNext w:val="true"/>
      <w:keepLines/>
      <w:spacing w:before="320" w:after="200"/>
      <w:outlineLvl w:val="4"/>
    </w:pPr>
    <w:rPr>
      <w:rFonts w:ascii="Arial" w:hAnsi="Arial" w:eastAsia="Arial" w:cs="Arial"/>
      <w:b/>
      <w:bCs/>
      <w:sz w:val="24"/>
      <w:szCs w:val="24"/>
    </w:rPr>
  </w:style>
  <w:style w:type="paragraph" w:styleId="Ttulo6">
    <w:name w:val="Heading 6"/>
    <w:basedOn w:val="Normal"/>
    <w:uiPriority w:val="9"/>
    <w:semiHidden/>
    <w:unhideWhenUsed/>
    <w:qFormat/>
    <w:pPr>
      <w:keepNext w:val="true"/>
      <w:keepLines/>
      <w:spacing w:lineRule="auto" w:line="259" w:before="40" w:after="0"/>
      <w:outlineLvl w:val="5"/>
    </w:pPr>
    <w:rPr>
      <w:rFonts w:ascii="Calibri" w:hAnsi="Calibri" w:eastAsia="Arial" w:cs="Arial" w:asciiTheme="majorHAnsi" w:cstheme="majorBidi" w:eastAsiaTheme="majorEastAsia" w:hAnsiTheme="majorHAnsi"/>
      <w:color w:val="243F60" w:themeColor="accent1" w:themeShade="7f"/>
      <w:sz w:val="22"/>
      <w:szCs w:val="22"/>
      <w:lang w:eastAsia="en-US"/>
    </w:rPr>
  </w:style>
  <w:style w:type="paragraph" w:styleId="Ttulo7">
    <w:name w:val="Heading 7"/>
    <w:basedOn w:val="Normal"/>
    <w:uiPriority w:val="9"/>
    <w:unhideWhenUsed/>
    <w:qFormat/>
    <w:pPr>
      <w:keepNext w:val="true"/>
      <w:keepLines/>
      <w:spacing w:before="320" w:after="200"/>
      <w:outlineLvl w:val="6"/>
    </w:pPr>
    <w:rPr>
      <w:rFonts w:ascii="Arial" w:hAnsi="Arial" w:eastAsia="Arial" w:cs="Arial"/>
      <w:b/>
      <w:bCs/>
      <w:i/>
      <w:iCs/>
      <w:sz w:val="22"/>
      <w:szCs w:val="22"/>
    </w:rPr>
  </w:style>
  <w:style w:type="paragraph" w:styleId="Ttulo8">
    <w:name w:val="Heading 8"/>
    <w:basedOn w:val="Normal"/>
    <w:uiPriority w:val="9"/>
    <w:unhideWhenUsed/>
    <w:qFormat/>
    <w:pPr>
      <w:keepNext w:val="true"/>
      <w:keepLines/>
      <w:spacing w:before="320" w:after="200"/>
      <w:outlineLvl w:val="7"/>
    </w:pPr>
    <w:rPr>
      <w:rFonts w:ascii="Arial" w:hAnsi="Arial" w:eastAsia="Arial" w:cs="Arial"/>
      <w:i/>
      <w:iCs/>
      <w:sz w:val="22"/>
      <w:szCs w:val="22"/>
    </w:rPr>
  </w:style>
  <w:style w:type="paragraph" w:styleId="Ttulo9">
    <w:name w:val="Heading 9"/>
    <w:basedOn w:val="Normal"/>
    <w:uiPriority w:val="9"/>
    <w:unhideWhenUsed/>
    <w:qFormat/>
    <w:pPr>
      <w:keepNext w:val="true"/>
      <w:keepLines/>
      <w:spacing w:before="320" w:after="200"/>
      <w:outlineLvl w:val="8"/>
    </w:pPr>
    <w:rPr>
      <w:rFonts w:ascii="Arial" w:hAnsi="Arial" w:eastAsia="Arial" w:cs="Arial"/>
      <w:i/>
      <w:iCs/>
      <w:sz w:val="21"/>
      <w:szCs w:val="21"/>
    </w:rPr>
  </w:style>
  <w:style w:type="character" w:styleId="Heading1Char">
    <w:name w:val="Heading 1 Char"/>
    <w:basedOn w:val="DefaultParagraphFont"/>
    <w:uiPriority w:val="9"/>
    <w:qFormat/>
    <w:rPr>
      <w:rFonts w:ascii="Arial" w:hAnsi="Arial" w:eastAsia="Arial" w:cs="Arial"/>
      <w:sz w:val="40"/>
      <w:szCs w:val="40"/>
    </w:rPr>
  </w:style>
  <w:style w:type="character" w:styleId="Heading2Char">
    <w:name w:val="Heading 2 Char"/>
    <w:basedOn w:val="DefaultParagraphFont"/>
    <w:uiPriority w:val="9"/>
    <w:qFormat/>
    <w:rPr>
      <w:rFonts w:ascii="Arial" w:hAnsi="Arial" w:eastAsia="Arial" w:cs="Arial"/>
      <w:sz w:val="34"/>
    </w:rPr>
  </w:style>
  <w:style w:type="character" w:styleId="Heading3Char">
    <w:name w:val="Heading 3 Char"/>
    <w:basedOn w:val="DefaultParagraphFont"/>
    <w:uiPriority w:val="9"/>
    <w:qFormat/>
    <w:rPr>
      <w:rFonts w:ascii="Arial" w:hAnsi="Arial" w:eastAsia="Arial" w:cs="Arial"/>
      <w:sz w:val="30"/>
      <w:szCs w:val="30"/>
    </w:rPr>
  </w:style>
  <w:style w:type="character" w:styleId="Heading4Char">
    <w:name w:val="Heading 4 Char"/>
    <w:basedOn w:val="DefaultParagraphFont"/>
    <w:uiPriority w:val="9"/>
    <w:qFormat/>
    <w:rPr>
      <w:rFonts w:ascii="Arial" w:hAnsi="Arial" w:eastAsia="Arial" w:cs="Arial"/>
      <w:b/>
      <w:bCs/>
      <w:sz w:val="26"/>
      <w:szCs w:val="26"/>
    </w:rPr>
  </w:style>
  <w:style w:type="character" w:styleId="Heading5Char">
    <w:name w:val="Heading 5 Char"/>
    <w:basedOn w:val="DefaultParagraphFont"/>
    <w:uiPriority w:val="9"/>
    <w:qFormat/>
    <w:rPr>
      <w:rFonts w:ascii="Arial" w:hAnsi="Arial" w:eastAsia="Arial" w:cs="Arial"/>
      <w:b/>
      <w:bCs/>
      <w:sz w:val="24"/>
      <w:szCs w:val="24"/>
    </w:rPr>
  </w:style>
  <w:style w:type="character" w:styleId="Heading6Char">
    <w:name w:val="Heading 6 Char"/>
    <w:basedOn w:val="DefaultParagraphFont"/>
    <w:uiPriority w:val="9"/>
    <w:qFormat/>
    <w:rPr>
      <w:rFonts w:ascii="Arial" w:hAnsi="Arial" w:eastAsia="Arial" w:cs="Arial"/>
      <w:b/>
      <w:bCs/>
      <w:sz w:val="22"/>
      <w:szCs w:val="22"/>
    </w:rPr>
  </w:style>
  <w:style w:type="character" w:styleId="Heading7Char">
    <w:name w:val="Heading 7 Char"/>
    <w:basedOn w:val="DefaultParagraphFont"/>
    <w:uiPriority w:val="9"/>
    <w:qFormat/>
    <w:rPr>
      <w:rFonts w:ascii="Arial" w:hAnsi="Arial" w:eastAsia="Arial" w:cs="Arial"/>
      <w:b/>
      <w:bCs/>
      <w:i/>
      <w:iCs/>
      <w:sz w:val="22"/>
      <w:szCs w:val="22"/>
    </w:rPr>
  </w:style>
  <w:style w:type="character" w:styleId="Heading8Char">
    <w:name w:val="Heading 8 Char"/>
    <w:basedOn w:val="DefaultParagraphFont"/>
    <w:uiPriority w:val="9"/>
    <w:qFormat/>
    <w:rPr>
      <w:rFonts w:ascii="Arial" w:hAnsi="Arial" w:eastAsia="Arial" w:cs="Arial"/>
      <w:i/>
      <w:iCs/>
      <w:sz w:val="22"/>
      <w:szCs w:val="22"/>
    </w:rPr>
  </w:style>
  <w:style w:type="character" w:styleId="Heading9Char">
    <w:name w:val="Heading 9 Char"/>
    <w:basedOn w:val="DefaultParagraphFont"/>
    <w:uiPriority w:val="9"/>
    <w:qFormat/>
    <w:rPr>
      <w:rFonts w:ascii="Arial" w:hAnsi="Arial" w:eastAsia="Arial" w:cs="Arial"/>
      <w:i/>
      <w:iCs/>
      <w:sz w:val="21"/>
      <w:szCs w:val="21"/>
    </w:rPr>
  </w:style>
  <w:style w:type="character" w:styleId="TitleChar">
    <w:name w:val="Title Char"/>
    <w:basedOn w:val="DefaultParagraphFont"/>
    <w:uiPriority w:val="10"/>
    <w:qFormat/>
    <w:rPr>
      <w:sz w:val="48"/>
      <w:szCs w:val="48"/>
    </w:rPr>
  </w:style>
  <w:style w:type="character" w:styleId="SubtitleChar">
    <w:name w:val="Subtitle Char"/>
    <w:basedOn w:val="DefaultParagraphFont"/>
    <w:uiPriority w:val="11"/>
    <w:qFormat/>
    <w:rPr>
      <w:sz w:val="24"/>
      <w:szCs w:val="24"/>
    </w:rPr>
  </w:style>
  <w:style w:type="character" w:styleId="IntenseQuoteChar">
    <w:name w:val="Intense Quote Char"/>
    <w:uiPriority w:val="30"/>
    <w:qFormat/>
    <w:rPr>
      <w:i/>
    </w:rPr>
  </w:style>
  <w:style w:type="character" w:styleId="HeaderChar">
    <w:name w:val="Header Char"/>
    <w:basedOn w:val="DefaultParagraphFont"/>
    <w:uiPriority w:val="99"/>
    <w:qFormat/>
    <w:rPr/>
  </w:style>
  <w:style w:type="character" w:styleId="FooterChar">
    <w:name w:val="Footer Char"/>
    <w:basedOn w:val="DefaultParagraphFont"/>
    <w:uiPriority w:val="99"/>
    <w:qFormat/>
    <w:rPr/>
  </w:style>
  <w:style w:type="character" w:styleId="CaptionChar">
    <w:name w:val="Caption Char"/>
    <w:uiPriority w:val="99"/>
    <w:qFormat/>
    <w:rPr/>
  </w:style>
  <w:style w:type="character" w:styleId="FootnoteTextChar">
    <w:name w:val="Footnote Text Char"/>
    <w:uiPriority w:val="99"/>
    <w:qFormat/>
    <w:rPr>
      <w:sz w:val="18"/>
    </w:rPr>
  </w:style>
  <w:style w:type="character" w:styleId="Ncoradanotaderodap">
    <w:name w:val="Âncora da nota de rodapé"/>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qFormat/>
    <w:rPr>
      <w:vertAlign w:val="superscript"/>
    </w:rPr>
  </w:style>
  <w:style w:type="character" w:styleId="FootnoteCharacters1111">
    <w:name w:val="Footnote Characters1111"/>
    <w:uiPriority w:val="99"/>
    <w:unhideWhenUsed/>
    <w:qFormat/>
    <w:rPr>
      <w:vertAlign w:val="superscript"/>
    </w:rPr>
  </w:style>
  <w:style w:type="character" w:styleId="EndnoteTextChar">
    <w:name w:val="Endnote Text Char"/>
    <w:uiPriority w:val="99"/>
    <w:qFormat/>
    <w:rPr>
      <w:sz w:val="20"/>
    </w:rPr>
  </w:style>
  <w:style w:type="character" w:styleId="Ncoradanotadefim">
    <w:name w:val="Âncora da nota de fim"/>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EndnoteCharacters11">
    <w:name w:val="Endnote Characters11"/>
    <w:qFormat/>
    <w:rPr>
      <w:vertAlign w:val="superscript"/>
    </w:rPr>
  </w:style>
  <w:style w:type="character" w:styleId="EndnoteCharacters111">
    <w:name w:val="Endnote Characters111"/>
    <w:qFormat/>
    <w:rPr>
      <w:vertAlign w:val="superscript"/>
    </w:rPr>
  </w:style>
  <w:style w:type="character" w:styleId="EndnoteCharacters1111">
    <w:name w:val="Endnote Characters1111"/>
    <w:uiPriority w:val="99"/>
    <w:semiHidden/>
    <w:unhideWhenUsed/>
    <w:qFormat/>
    <w:rPr>
      <w:vertAlign w:val="superscript"/>
    </w:rPr>
  </w:style>
  <w:style w:type="character" w:styleId="DefaultParagraphFont" w:default="1">
    <w:name w:val="Default Paragraph Font"/>
    <w:uiPriority w:val="1"/>
    <w:semiHidden/>
    <w:unhideWhenUsed/>
    <w:qFormat/>
    <w:rPr/>
  </w:style>
  <w:style w:type="character" w:styleId="TextodebaloChar" w:customStyle="1">
    <w:name w:val="Texto de balão Char"/>
    <w:uiPriority w:val="99"/>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rPr>
  </w:style>
  <w:style w:type="character" w:styleId="Applestylespan" w:customStyle="1">
    <w:name w:val="apple-style-span"/>
    <w:basedOn w:val="DefaultParagraphFont"/>
    <w:qFormat/>
    <w:rPr/>
  </w:style>
  <w:style w:type="character" w:styleId="InternetLink">
    <w:name w:val="Hyperlink"/>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NotaexplicativaChar" w:customStyle="1">
    <w:name w:val="Nota explicativa Char"/>
    <w:basedOn w:val="CitaoChar"/>
    <w:qFormat/>
    <w:rPr>
      <w:rFonts w:ascii="Arial" w:hAnsi="Arial" w:eastAsia="Calibri" w:cs="Tahoma"/>
      <w:i/>
      <w:iCs/>
      <w:color w:val="000000"/>
      <w:szCs w:val="24"/>
      <w:shd w:fill="FFFFCC" w:val="clear"/>
    </w:rPr>
  </w:style>
  <w:style w:type="character" w:styleId="CabealhoChar" w:customStyle="1">
    <w:name w:val="Cabeçalho Char"/>
    <w:uiPriority w:val="99"/>
    <w:qFormat/>
    <w:rPr>
      <w:rFonts w:ascii="Ecofont_Spranq_eco_Sans" w:hAnsi="Ecofont_Spranq_eco_Sans" w:cs="Tahoma"/>
      <w:sz w:val="24"/>
      <w:szCs w:val="24"/>
    </w:rPr>
  </w:style>
  <w:style w:type="character" w:styleId="RodapChar" w:customStyle="1">
    <w:name w:val="Rodapé Char"/>
    <w:uiPriority w:val="99"/>
    <w:qFormat/>
    <w:rPr>
      <w:rFonts w:ascii="Ecofont_Spranq_eco_Sans" w:hAnsi="Ecofont_Spranq_eco_Sans" w:cs="Tahoma"/>
      <w:sz w:val="24"/>
      <w:szCs w:val="24"/>
    </w:rPr>
  </w:style>
  <w:style w:type="character" w:styleId="Annotationreference">
    <w:name w:val="annotation reference"/>
    <w:basedOn w:val="DefaultParagraphFont"/>
    <w:unhideWhenUsed/>
    <w:qFormat/>
    <w:rPr>
      <w:sz w:val="16"/>
      <w:szCs w:val="16"/>
    </w:rPr>
  </w:style>
  <w:style w:type="character" w:styleId="TextodecomentrioChar" w:customStyle="1">
    <w:name w:val="Texto de comentário Char"/>
    <w:basedOn w:val="DefaultParagraphFont"/>
    <w:uiPriority w:val="99"/>
    <w:qFormat/>
    <w:rPr>
      <w:rFonts w:ascii="Ecofont_Spranq_eco_Sans" w:hAnsi="Ecofont_Spranq_eco_Sans" w:cs="Tahoma"/>
      <w:lang w:eastAsia="pt-BR"/>
    </w:rPr>
  </w:style>
  <w:style w:type="character" w:styleId="AssuntodocomentrioChar" w:customStyle="1">
    <w:name w:val="Assunto do comentário Char"/>
    <w:basedOn w:val="TextodecomentrioChar"/>
    <w:uiPriority w:val="99"/>
    <w:semiHidden/>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Arial" w:cs="Arial"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qFormat/>
    <w:rPr>
      <w:rFonts w:ascii="Calibri" w:hAnsi="Calibri" w:eastAsia="Arial" w:cs="Arial" w:asciiTheme="majorHAnsi" w:cstheme="majorBidi" w:eastAsiaTheme="majorEastAsia" w:hAnsiTheme="majorHAnsi"/>
      <w:color w:val="17365D" w:themeColor="text2" w:themeShade="bf"/>
      <w:spacing w:val="5"/>
      <w:sz w:val="52"/>
      <w:szCs w:val="52"/>
      <w:lang w:eastAsia="pt-BR"/>
    </w:rPr>
  </w:style>
  <w:style w:type="character" w:styleId="Nivel01Char" w:customStyle="1">
    <w:name w:val="Nivel 01 Char"/>
    <w:basedOn w:val="TtuloChar"/>
    <w:qFormat/>
    <w:rPr>
      <w:rFonts w:ascii="Arial" w:hAnsi="Arial" w:eastAsia="Arial" w:cs="Arial" w:eastAsiaTheme="majorEastAsia"/>
      <w:b/>
      <w:bCs/>
      <w:color w:val="17365D" w:themeColor="text2" w:themeShade="bf"/>
      <w:spacing w:val="5"/>
      <w:sz w:val="52"/>
      <w:szCs w:val="52"/>
      <w:lang w:eastAsia="pt-BR"/>
    </w:rPr>
  </w:style>
  <w:style w:type="character" w:styleId="Ttulo1Char" w:customStyle="1">
    <w:name w:val="Título 1 Char"/>
    <w:basedOn w:val="DefaultParagraphFont"/>
    <w:uiPriority w:val="9"/>
    <w:qFormat/>
    <w:rPr>
      <w:rFonts w:ascii="Calibri" w:hAnsi="Calibri" w:eastAsia="Arial" w:cs="Arial"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qFormat/>
    <w:rPr>
      <w:rFonts w:ascii="Arial" w:hAnsi="Arial" w:eastAsia="Arial" w:cs="Arial" w:cstheme="majorBidi" w:eastAsiaTheme="majorEastAsia"/>
      <w:b/>
      <w:bCs/>
      <w:color w:val="000000" w:themeColor="text1"/>
      <w:spacing w:val="5"/>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uiPriority w:val="99"/>
    <w:qFormat/>
    <w:rPr>
      <w:rFonts w:eastAsia="Times New Roman"/>
      <w:sz w:val="24"/>
      <w:szCs w:val="24"/>
      <w:lang w:eastAsia="pt-BR"/>
    </w:rPr>
  </w:style>
  <w:style w:type="character" w:styleId="Nivel1Char" w:customStyle="1">
    <w:name w:val="Nivel1 Char"/>
    <w:basedOn w:val="Ttulo1Char"/>
    <w:qFormat/>
    <w:rPr>
      <w:rFonts w:ascii="Arial" w:hAnsi="Arial" w:eastAsia="Arial" w:cs="Arial" w:eastAsiaTheme="majorEastAsia"/>
      <w:b/>
      <w:bCs w:val="false"/>
      <w:color w:val="000000" w:themeColor="accent1" w:themeShade="bf"/>
      <w:sz w:val="28"/>
      <w:szCs w:val="28"/>
      <w:lang w:eastAsia="pt-BR"/>
    </w:rPr>
  </w:style>
  <w:style w:type="character" w:styleId="Nivel4Char" w:customStyle="1">
    <w:name w:val="Nivel 4 Char"/>
    <w:basedOn w:val="DefaultParagraphFont"/>
    <w:qFormat/>
    <w:rPr>
      <w:rFonts w:ascii="Arial" w:hAnsi="Arial" w:cs="Arial"/>
      <w:lang w:eastAsia="pt-BR"/>
    </w:rPr>
  </w:style>
  <w:style w:type="character" w:styleId="Cp0020corpodespachochar1" w:customStyle="1">
    <w:name w:val="cp_0020corpodespacho__char1"/>
    <w:qFormat/>
    <w:rPr>
      <w:rFonts w:ascii="Times New Roman" w:hAnsi="Times New Roman" w:cs="Times New Roman"/>
      <w:strike w:val="false"/>
      <w:dstrike w:val="false"/>
      <w:sz w:val="26"/>
      <w:szCs w:val="26"/>
      <w:u w:val="none"/>
    </w:rPr>
  </w:style>
  <w:style w:type="character" w:styleId="Em0020ementachar1" w:customStyle="1">
    <w:name w:val="em_0020ementa__char1"/>
    <w:qFormat/>
    <w:rPr>
      <w:rFonts w:ascii="Times New Roman" w:hAnsi="Times New Roman" w:cs="Times New Roman"/>
      <w:strike w:val="false"/>
      <w:dstrike w:val="false"/>
      <w:sz w:val="28"/>
      <w:szCs w:val="28"/>
      <w:u w:val="none"/>
    </w:rPr>
  </w:style>
  <w:style w:type="character" w:styleId="Strong">
    <w:name w:val="Strong"/>
    <w:basedOn w:val="DefaultParagraphFont"/>
    <w:uiPriority w:val="22"/>
    <w:qFormat/>
    <w:rPr>
      <w:b/>
      <w:bCs/>
    </w:rPr>
  </w:style>
  <w:style w:type="character" w:styleId="Nfase">
    <w:name w:val="Ênfase"/>
    <w:basedOn w:val="DefaultParagraphFont"/>
    <w:uiPriority w:val="20"/>
    <w:qFormat/>
    <w:rPr>
      <w:i/>
      <w:iCs/>
    </w:rPr>
  </w:style>
  <w:style w:type="character" w:styleId="Manoel" w:customStyle="1">
    <w:name w:val="Manoel"/>
    <w:qFormat/>
    <w:rPr>
      <w:rFonts w:ascii="Arial" w:hAnsi="Arial" w:cs="Arial"/>
      <w:color w:val="7030A0"/>
      <w:sz w:val="20"/>
    </w:rPr>
  </w:style>
  <w:style w:type="character" w:styleId="GradeColoridanfase1Char" w:customStyle="1">
    <w:name w:val="Grade Colorida - Ênfase 1 Char"/>
    <w:uiPriority w:val="29"/>
    <w:qFormat/>
    <w:rPr>
      <w:rFonts w:ascii="Arial" w:hAnsi="Arial" w:eastAsia="Calibri"/>
      <w:i/>
      <w:iCs/>
      <w:color w:val="000000"/>
      <w:szCs w:val="24"/>
      <w:shd w:fill="FFFFCC" w:val="clear"/>
    </w:rPr>
  </w:style>
  <w:style w:type="character" w:styleId="Highlight" w:customStyle="1">
    <w:name w:val="highlight"/>
    <w:basedOn w:val="DefaultParagraphFont"/>
    <w:qFormat/>
    <w:rPr/>
  </w:style>
  <w:style w:type="character" w:styleId="Linkdainternetvisitado">
    <w:name w:val="Link da internet visitado"/>
    <w:basedOn w:val="DefaultParagraphFont"/>
    <w:uiPriority w:val="99"/>
    <w:semiHidden/>
    <w:unhideWhenUsed/>
    <w:rPr>
      <w:color w:val="800080" w:themeColor="followedHyperlink"/>
      <w:u w:val="single"/>
    </w:rPr>
  </w:style>
  <w:style w:type="character" w:styleId="MenoPendente1" w:customStyle="1">
    <w:name w:val="Menção Pendente1"/>
    <w:basedOn w:val="DefaultParagraphFont"/>
    <w:uiPriority w:val="99"/>
    <w:semiHidden/>
    <w:unhideWhenUsed/>
    <w:qFormat/>
    <w:rPr>
      <w:color w:val="605E5C"/>
      <w:shd w:fill="E1DFDD" w:val="clear"/>
    </w:rPr>
  </w:style>
  <w:style w:type="character" w:styleId="MenoPendente2" w:customStyle="1">
    <w:name w:val="Menção Pendente2"/>
    <w:basedOn w:val="DefaultParagraphFont"/>
    <w:uiPriority w:val="99"/>
    <w:semiHidden/>
    <w:unhideWhenUsed/>
    <w:qFormat/>
    <w:rPr>
      <w:color w:val="605E5C"/>
      <w:shd w:fill="E1DFDD" w:val="clear"/>
    </w:rPr>
  </w:style>
  <w:style w:type="character" w:styleId="Nivel2Char" w:customStyle="1">
    <w:name w:val="Nivel 2 Char"/>
    <w:basedOn w:val="DefaultParagraphFont"/>
    <w:qFormat/>
    <w:rPr>
      <w:rFonts w:ascii="Arial" w:hAnsi="Arial" w:cs="Arial"/>
      <w:color w:val="000000"/>
      <w:lang w:eastAsia="pt-BR"/>
    </w:rPr>
  </w:style>
  <w:style w:type="character" w:styleId="Nvel2OpcionalChar" w:customStyle="1">
    <w:name w:val="Nível 2 Opcional Char"/>
    <w:basedOn w:val="DefaultParagraphFont"/>
    <w:qFormat/>
    <w:rPr>
      <w:rFonts w:ascii="Arial" w:hAnsi="Arial" w:eastAsia="Times New Roman" w:cs="Arial"/>
      <w:i/>
      <w:color w:val="FF0000"/>
      <w:lang w:eastAsia="pt-BR"/>
    </w:rPr>
  </w:style>
  <w:style w:type="character" w:styleId="Nvel3OpcionalChar" w:customStyle="1">
    <w:name w:val="Nível 3 Opcional Char"/>
    <w:basedOn w:val="DefaultParagraphFont"/>
    <w:qFormat/>
    <w:rPr>
      <w:rFonts w:ascii="Arial" w:hAnsi="Arial" w:eastAsia="Times New Roman" w:cs="Arial"/>
      <w:i/>
      <w:iCs/>
      <w:color w:val="FF0000"/>
      <w:lang w:eastAsia="pt-BR"/>
    </w:rPr>
  </w:style>
  <w:style w:type="character" w:styleId="PlaceholderText">
    <w:name w:val="Placeholder Text"/>
    <w:basedOn w:val="DefaultParagraphFont"/>
    <w:uiPriority w:val="67"/>
    <w:semiHidden/>
    <w:qFormat/>
    <w:rPr>
      <w:color w:val="808080"/>
    </w:rPr>
  </w:style>
  <w:style w:type="character" w:styleId="PargrafodaListaChar" w:customStyle="1">
    <w:name w:val="Parágrafo da Lista Char"/>
    <w:basedOn w:val="DefaultParagraphFont"/>
    <w:uiPriority w:val="34"/>
    <w:qFormat/>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Pr>
      <w:rFonts w:ascii="Calibri" w:hAnsi="Calibri" w:eastAsia="Arial" w:cs="Arial"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Pr>
      <w:rFonts w:ascii="Calibri" w:hAnsi="Calibri" w:eastAsia="Arial" w:cs="Arial"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Pr/>
  </w:style>
  <w:style w:type="character" w:styleId="MenoPendente3" w:customStyle="1">
    <w:name w:val="Menção Pendente3"/>
    <w:basedOn w:val="DefaultParagraphFont"/>
    <w:uiPriority w:val="99"/>
    <w:semiHidden/>
    <w:unhideWhenUsed/>
    <w:qFormat/>
    <w:rPr>
      <w:color w:val="605E5C"/>
      <w:shd w:fill="E1DFDD" w:val="clear"/>
    </w:rPr>
  </w:style>
  <w:style w:type="character" w:styleId="MenoPendente4" w:customStyle="1">
    <w:name w:val="Menção Pendente4"/>
    <w:basedOn w:val="DefaultParagraphFont"/>
    <w:uiPriority w:val="99"/>
    <w:semiHidden/>
    <w:unhideWhenUsed/>
    <w:qFormat/>
    <w:rPr>
      <w:color w:val="605E5C"/>
      <w:shd w:fill="E1DFDD" w:val="clear"/>
    </w:rPr>
  </w:style>
  <w:style w:type="character" w:styleId="OuChar" w:customStyle="1">
    <w:name w:val="ou Char"/>
    <w:basedOn w:val="PargrafodaListaChar"/>
    <w:qFormat/>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qFormat/>
    <w:rPr>
      <w:rFonts w:ascii="Arial" w:hAnsi="Arial" w:cs="Arial"/>
      <w:i/>
      <w:iCs/>
      <w:color w:val="FF0000"/>
      <w:lang w:eastAsia="pt-BR"/>
    </w:rPr>
  </w:style>
  <w:style w:type="character" w:styleId="Nivel3Char" w:customStyle="1">
    <w:name w:val="Nivel 3 Char"/>
    <w:basedOn w:val="DefaultParagraphFont"/>
    <w:qFormat/>
    <w:rPr>
      <w:rFonts w:ascii="Arial" w:hAnsi="Arial" w:cs="Arial"/>
      <w:color w:val="000000"/>
      <w:lang w:eastAsia="pt-BR"/>
    </w:rPr>
  </w:style>
  <w:style w:type="character" w:styleId="Nvel3RChar" w:customStyle="1">
    <w:name w:val="Nível 3-R Char"/>
    <w:basedOn w:val="Nivel3Char"/>
    <w:qFormat/>
    <w:rPr>
      <w:rFonts w:ascii="Arial" w:hAnsi="Arial" w:cs="Arial"/>
      <w:i/>
      <w:iCs/>
      <w:color w:val="FF0000"/>
      <w:lang w:eastAsia="pt-BR"/>
    </w:rPr>
  </w:style>
  <w:style w:type="character" w:styleId="Nvel4RChar" w:customStyle="1">
    <w:name w:val="Nível 4-R Char"/>
    <w:basedOn w:val="Nivel4Char"/>
    <w:qFormat/>
    <w:rPr>
      <w:rFonts w:ascii="Arial" w:hAnsi="Arial" w:cs="Arial"/>
      <w:i/>
      <w:iCs/>
      <w:color w:val="FF0000"/>
      <w:lang w:eastAsia="pt-BR"/>
    </w:rPr>
  </w:style>
  <w:style w:type="character" w:styleId="InternetLink1" w:customStyle="1">
    <w:name w:val="Internet Link1"/>
    <w:basedOn w:val="DefaultParagraphFont"/>
    <w:uiPriority w:val="99"/>
    <w:unhideWhenUsed/>
    <w:qFormat/>
    <w:rPr>
      <w:color w:val="0000FF" w:themeColor="hyperlink"/>
      <w:u w:val="single"/>
    </w:rPr>
  </w:style>
  <w:style w:type="character" w:styleId="Nvel1SemNumChar" w:customStyle="1">
    <w:name w:val="Nível 1-Sem Num Char"/>
    <w:basedOn w:val="Nivel01Char"/>
    <w:qFormat/>
    <w:rPr>
      <w:rFonts w:ascii="Arial" w:hAnsi="Arial" w:eastAsia="Arial" w:cs="Arial" w:eastAsiaTheme="majorEastAsia"/>
      <w:b/>
      <w:bCs/>
      <w:color w:val="FF0000" w:themeColor="text2" w:themeShade="bf"/>
      <w:spacing w:val="5"/>
      <w:sz w:val="52"/>
      <w:szCs w:val="52"/>
      <w:lang w:eastAsia="pt-BR"/>
    </w:rPr>
  </w:style>
  <w:style w:type="character" w:styleId="PrembuloChar" w:customStyle="1">
    <w:name w:val="Preâmbulo Char"/>
    <w:basedOn w:val="DefaultParagraphFont"/>
    <w:qFormat/>
    <w:rPr>
      <w:rFonts w:ascii="Arial" w:hAnsi="Arial" w:eastAsia="Arial" w:cs="Arial"/>
      <w:bCs/>
      <w:lang w:eastAsia="pt-BR"/>
    </w:rPr>
  </w:style>
  <w:style w:type="character" w:styleId="UnresolvedMention">
    <w:name w:val="Unresolved Mention"/>
    <w:basedOn w:val="DefaultParagraphFont"/>
    <w:uiPriority w:val="99"/>
    <w:semiHidden/>
    <w:unhideWhenUsed/>
    <w:qFormat/>
    <w:rPr>
      <w:color w:val="605E5C"/>
      <w:shd w:fill="E1DFDD" w:val="clear"/>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LinkdaInternet">
    <w:name w:val="Link da Internet"/>
    <w:rPr>
      <w:color w:val="000080"/>
      <w:u w:val="single"/>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uiPriority w:val="99"/>
    <w:unhideWhenUsed/>
    <w:pPr>
      <w:spacing w:beforeAutospacing="1" w:afterAutospacing="1"/>
    </w:pPr>
    <w:rPr>
      <w:rFonts w:ascii="Times New Roman" w:hAnsi="Times New Roman" w:eastAsia="Times New Roman" w:cs="Times New Roman"/>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Lucida Sans"/>
    </w:rPr>
  </w:style>
  <w:style w:type="paragraph" w:styleId="Caption">
    <w:name w:val="caption"/>
    <w:basedOn w:val="Normal"/>
    <w:uiPriority w:val="35"/>
    <w:semiHidden/>
    <w:unhideWhenUsed/>
    <w:qFormat/>
    <w:pPr>
      <w:spacing w:lineRule="auto" w:line="276"/>
    </w:pPr>
    <w:rPr>
      <w:b/>
      <w:bCs/>
      <w:color w:val="4F81BD" w:themeColor="accent1"/>
      <w:sz w:val="18"/>
      <w:szCs w:val="18"/>
    </w:rPr>
  </w:style>
  <w:style w:type="paragraph" w:styleId="NoSpacing">
    <w:name w:val="No Spacing"/>
    <w:uiPriority w:val="1"/>
    <w:qFormat/>
    <w:pPr>
      <w:widowControl/>
      <w:suppressAutoHyphens w:val="true"/>
      <w:bidi w:val="0"/>
      <w:spacing w:lineRule="auto" w:line="240" w:before="0" w:after="0"/>
      <w:jc w:val="left"/>
    </w:pPr>
    <w:rPr>
      <w:rFonts w:ascii="Times New Roman" w:hAnsi="Times New Roman" w:eastAsia="Arial" w:cs="Times New Roman" w:eastAsiaTheme="minorEastAsia"/>
      <w:color w:val="auto"/>
      <w:kern w:val="0"/>
      <w:sz w:val="20"/>
      <w:szCs w:val="20"/>
      <w:lang w:val="pt-BR" w:eastAsia="en-US" w:bidi="ar-SA"/>
    </w:rPr>
  </w:style>
  <w:style w:type="paragraph" w:styleId="Subttulo">
    <w:name w:val="Subtitle"/>
    <w:basedOn w:val="Normal"/>
    <w:uiPriority w:val="11"/>
    <w:qFormat/>
    <w:pPr>
      <w:spacing w:before="200" w:after="200"/>
    </w:pPr>
    <w:rPr>
      <w:sz w:val="24"/>
      <w:szCs w:val="24"/>
    </w:rPr>
  </w:style>
  <w:style w:type="paragraph" w:styleId="IntenseQuote">
    <w:name w:val="Intense Quote"/>
    <w:basedOn w:val="Normal"/>
    <w:uiPriority w:val="30"/>
    <w:qFormat/>
    <w:pPr>
      <w:pBdr>
        <w:top w:val="single" w:sz="4" w:space="5" w:color="FFFFFF"/>
        <w:left w:val="single" w:sz="4" w:space="10" w:color="FFFFFF"/>
        <w:bottom w:val="single" w:sz="4" w:space="5" w:color="FFFFFF"/>
        <w:right w:val="single" w:sz="4" w:space="10" w:color="FFFFFF"/>
      </w:pBdr>
      <w:shd w:val="clear" w:color="auto" w:fill="F2F2F2"/>
      <w:spacing w:before="0" w:after="0"/>
      <w:ind w:left="720" w:right="720" w:hanging="0"/>
    </w:pPr>
    <w:rPr>
      <w:i/>
    </w:rPr>
  </w:style>
  <w:style w:type="paragraph" w:styleId="Notaderodap">
    <w:name w:val="Footnote Text"/>
    <w:basedOn w:val="Normal"/>
    <w:uiPriority w:val="99"/>
    <w:semiHidden/>
    <w:unhideWhenUsed/>
    <w:pPr>
      <w:spacing w:lineRule="auto" w:line="240" w:before="0" w:after="40"/>
    </w:pPr>
    <w:rPr>
      <w:sz w:val="18"/>
    </w:rPr>
  </w:style>
  <w:style w:type="paragraph" w:styleId="Notadefim">
    <w:name w:val="Endnote Text"/>
    <w:basedOn w:val="Normal"/>
    <w:uiPriority w:val="99"/>
    <w:semiHidden/>
    <w:unhideWhenUsed/>
    <w:pPr>
      <w:spacing w:lineRule="auto" w:line="240" w:before="0" w:after="0"/>
    </w:pPr>
    <w:rPr>
      <w:sz w:val="20"/>
    </w:rPr>
  </w:style>
  <w:style w:type="paragraph" w:styleId="Sumrio1">
    <w:name w:val="TOC 1"/>
    <w:basedOn w:val="Normal"/>
    <w:uiPriority w:val="39"/>
    <w:unhideWhenUsed/>
    <w:pPr>
      <w:spacing w:before="0" w:after="57"/>
      <w:ind w:left="0" w:right="0" w:hanging="0"/>
    </w:pPr>
    <w:rPr/>
  </w:style>
  <w:style w:type="paragraph" w:styleId="Sumrio2">
    <w:name w:val="TOC 2"/>
    <w:basedOn w:val="Normal"/>
    <w:uiPriority w:val="39"/>
    <w:unhideWhenUsed/>
    <w:pPr>
      <w:spacing w:before="0" w:after="57"/>
      <w:ind w:left="283" w:right="0" w:hanging="0"/>
    </w:pPr>
    <w:rPr/>
  </w:style>
  <w:style w:type="paragraph" w:styleId="Sumrio3">
    <w:name w:val="TOC 3"/>
    <w:basedOn w:val="Normal"/>
    <w:uiPriority w:val="39"/>
    <w:unhideWhenUsed/>
    <w:pPr>
      <w:spacing w:before="0" w:after="57"/>
      <w:ind w:left="567" w:right="0" w:hanging="0"/>
    </w:pPr>
    <w:rPr/>
  </w:style>
  <w:style w:type="paragraph" w:styleId="Sumrio4">
    <w:name w:val="TOC 4"/>
    <w:basedOn w:val="Normal"/>
    <w:uiPriority w:val="39"/>
    <w:unhideWhenUsed/>
    <w:pPr>
      <w:spacing w:before="0" w:after="57"/>
      <w:ind w:left="850" w:right="0" w:hanging="0"/>
    </w:pPr>
    <w:rPr/>
  </w:style>
  <w:style w:type="paragraph" w:styleId="Sumrio5">
    <w:name w:val="TOC 5"/>
    <w:basedOn w:val="Normal"/>
    <w:uiPriority w:val="39"/>
    <w:unhideWhenUsed/>
    <w:pPr>
      <w:spacing w:before="0" w:after="57"/>
      <w:ind w:left="1134" w:right="0" w:hanging="0"/>
    </w:pPr>
    <w:rPr/>
  </w:style>
  <w:style w:type="paragraph" w:styleId="Sumrio6">
    <w:name w:val="TOC 6"/>
    <w:basedOn w:val="Normal"/>
    <w:uiPriority w:val="39"/>
    <w:unhideWhenUsed/>
    <w:pPr>
      <w:spacing w:before="0" w:after="57"/>
      <w:ind w:left="1417" w:right="0" w:hanging="0"/>
    </w:pPr>
    <w:rPr/>
  </w:style>
  <w:style w:type="paragraph" w:styleId="Sumrio7">
    <w:name w:val="TOC 7"/>
    <w:basedOn w:val="Normal"/>
    <w:uiPriority w:val="39"/>
    <w:unhideWhenUsed/>
    <w:pPr>
      <w:spacing w:before="0" w:after="57"/>
      <w:ind w:left="1701" w:right="0" w:hanging="0"/>
    </w:pPr>
    <w:rPr/>
  </w:style>
  <w:style w:type="paragraph" w:styleId="Sumrio8">
    <w:name w:val="TOC 8"/>
    <w:basedOn w:val="Normal"/>
    <w:uiPriority w:val="39"/>
    <w:unhideWhenUsed/>
    <w:pPr>
      <w:spacing w:before="0" w:after="57"/>
      <w:ind w:left="1984" w:right="0" w:hanging="0"/>
    </w:pPr>
    <w:rPr/>
  </w:style>
  <w:style w:type="paragraph" w:styleId="Sumrio9">
    <w:name w:val="TOC 9"/>
    <w:basedOn w:val="Normal"/>
    <w:uiPriority w:val="39"/>
    <w:unhideWhenUsed/>
    <w:pPr>
      <w:spacing w:before="0" w:after="57"/>
      <w:ind w:left="2268" w:right="0" w:hanging="0"/>
    </w:pPr>
    <w:rPr/>
  </w:style>
  <w:style w:type="paragraph" w:styleId="Indexheading">
    <w:name w:val="index heading"/>
    <w:basedOn w:val="Ttulo"/>
    <w:qFormat/>
    <w:pPr/>
    <w:rPr/>
  </w:style>
  <w:style w:type="paragraph" w:styleId="Ttulodondicealfabtico">
    <w:name w:val="Index Heading"/>
    <w:basedOn w:val="Ttulo"/>
    <w:pPr/>
    <w:rPr/>
  </w:style>
  <w:style w:type="paragraph" w:styleId="Ttulodosumrio">
    <w:name w:val="TOC Heading"/>
    <w:uiPriority w:val="39"/>
    <w:unhideWhenUsed/>
    <w:qFormat/>
    <w:pPr>
      <w:widowControl/>
      <w:suppressAutoHyphens w:val="true"/>
      <w:bidi w:val="0"/>
      <w:spacing w:before="0" w:after="0"/>
      <w:jc w:val="left"/>
    </w:pPr>
    <w:rPr>
      <w:rFonts w:ascii="Times New Roman" w:hAnsi="Times New Roman" w:eastAsia="Arial" w:cs="Times New Roman" w:eastAsiaTheme="minorEastAsia"/>
      <w:color w:val="auto"/>
      <w:kern w:val="0"/>
      <w:sz w:val="20"/>
      <w:szCs w:val="20"/>
      <w:lang w:val="pt-BR" w:eastAsia="en-US" w:bidi="ar-SA"/>
    </w:rPr>
  </w:style>
  <w:style w:type="paragraph" w:styleId="Tableoffigures">
    <w:name w:val="table of figures"/>
    <w:basedOn w:val="Normal"/>
    <w:uiPriority w:val="99"/>
    <w:unhideWhenUsed/>
    <w:qFormat/>
    <w:pPr>
      <w:spacing w:before="0" w:afterAutospacing="0" w:after="0"/>
    </w:pPr>
    <w:rPr/>
  </w:style>
  <w:style w:type="paragraph" w:styleId="ListParagraph">
    <w:name w:val="List Paragraph"/>
    <w:basedOn w:val="Normal"/>
    <w:uiPriority w:val="34"/>
    <w:qFormat/>
    <w:pPr>
      <w:spacing w:before="0" w:after="0"/>
      <w:ind w:left="720" w:hanging="0"/>
      <w:contextualSpacing/>
    </w:pPr>
    <w:rPr/>
  </w:style>
  <w:style w:type="paragraph" w:styleId="NormalWeb">
    <w:name w:val="Normal (Web)"/>
    <w:basedOn w:val="Normal"/>
    <w:uiPriority w:val="99"/>
    <w:qFormat/>
    <w:pPr>
      <w:spacing w:beforeAutospacing="1" w:afterAutospacing="1"/>
    </w:pPr>
    <w:rPr>
      <w:rFonts w:ascii="Times New Roman" w:hAnsi="Times New Roman" w:cs="Times New Roman"/>
    </w:rPr>
  </w:style>
  <w:style w:type="paragraph" w:styleId="BalloonText">
    <w:name w:val="Balloon Text"/>
    <w:basedOn w:val="Normal"/>
    <w:uiPriority w:val="99"/>
    <w:qFormat/>
    <w:pPr/>
    <w:rPr>
      <w:rFonts w:ascii="Tahoma" w:hAnsi="Tahoma"/>
      <w:sz w:val="16"/>
      <w:szCs w:val="16"/>
    </w:rPr>
  </w:style>
  <w:style w:type="paragraph" w:styleId="Nvel2" w:customStyle="1">
    <w:name w:val="Nível 2"/>
    <w:basedOn w:val="Normal"/>
    <w:qFormat/>
    <w:pPr>
      <w:spacing w:before="0" w:after="120"/>
      <w:jc w:val="both"/>
    </w:pPr>
    <w:rPr>
      <w:rFonts w:ascii="Arial" w:hAnsi="Arial" w:cs="Times New Roman"/>
      <w:b/>
      <w:szCs w:val="20"/>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2"/>
      </w:numPr>
      <w:spacing w:before="0" w:after="0"/>
      <w:contextualSpacing/>
    </w:pPr>
    <w:rPr/>
  </w:style>
  <w:style w:type="paragraph" w:styleId="Notaexplicativa" w:customStyle="1">
    <w:name w:val="Nota explicativa"/>
    <w:basedOn w:val="Quote"/>
    <w:qFormat/>
    <w:pPr/>
    <w:rPr>
      <w:szCs w:val="20"/>
    </w:rPr>
  </w:style>
  <w:style w:type="paragraph" w:styleId="Cabealhoerodap">
    <w:name w:val="Cabeçalho e rodapé"/>
    <w:basedOn w:val="Normal"/>
    <w:qFormat/>
    <w:pPr/>
    <w:rPr/>
  </w:style>
  <w:style w:type="paragraph" w:styleId="CabealhoeRodap1">
    <w:name w:val="Cabeçalho e Rodapé"/>
    <w:basedOn w:val="Normal"/>
    <w:qFormat/>
    <w:pPr/>
    <w:rPr/>
  </w:style>
  <w:style w:type="paragraph" w:styleId="Cabealho">
    <w:name w:val="Header"/>
    <w:basedOn w:val="Normal"/>
    <w:uiPriority w:val="99"/>
    <w:pPr>
      <w:tabs>
        <w:tab w:val="clear" w:pos="708"/>
        <w:tab w:val="center" w:pos="4252" w:leader="none"/>
        <w:tab w:val="right" w:pos="8504" w:leader="none"/>
      </w:tabs>
    </w:pPr>
    <w:rPr/>
  </w:style>
  <w:style w:type="paragraph" w:styleId="Rodap">
    <w:name w:val="Footer"/>
    <w:basedOn w:val="Normal"/>
    <w:uiPriority w:val="99"/>
    <w:pPr>
      <w:tabs>
        <w:tab w:val="clear" w:pos="708"/>
        <w:tab w:val="center" w:pos="4252" w:leader="none"/>
        <w:tab w:val="right" w:pos="8504" w:leader="none"/>
      </w:tabs>
    </w:pPr>
    <w:rPr/>
  </w:style>
  <w:style w:type="paragraph" w:styleId="Annotationtext">
    <w:name w:val="annotation text"/>
    <w:basedOn w:val="Normal"/>
    <w:uiPriority w:val="99"/>
    <w:unhideWhenUsed/>
    <w:qFormat/>
    <w:pPr/>
    <w:rPr>
      <w:sz w:val="20"/>
      <w:szCs w:val="20"/>
    </w:rPr>
  </w:style>
  <w:style w:type="paragraph" w:styleId="Annotationsubject">
    <w:name w:val="annotation subject"/>
    <w:basedOn w:val="Annotationtext"/>
    <w:uiPriority w:val="99"/>
    <w:semiHidden/>
    <w:unhideWhenUsed/>
    <w:qFormat/>
    <w:pPr/>
    <w:rPr>
      <w:b/>
      <w:bCs/>
    </w:rPr>
  </w:style>
  <w:style w:type="paragraph" w:styleId="Nivel01" w:customStyle="1">
    <w:name w:val="Nivel 01"/>
    <w:basedOn w:val="Ttulo1"/>
    <w:qFormat/>
    <w:pPr>
      <w:numPr>
        <w:ilvl w:val="0"/>
        <w:numId w:val="1"/>
      </w:numPr>
      <w:tabs>
        <w:tab w:val="clear" w:pos="708"/>
        <w:tab w:val="left" w:pos="567" w:leader="none"/>
      </w:tabs>
      <w:spacing w:before="240" w:after="0"/>
      <w:jc w:val="both"/>
    </w:pPr>
    <w:rPr>
      <w:rFonts w:ascii="Arial" w:hAnsi="Arial" w:cs="Arial"/>
      <w:color w:val="auto" w:themeColor="accent1" w:themeShade="bf"/>
      <w:sz w:val="20"/>
      <w:szCs w:val="20"/>
    </w:rPr>
  </w:style>
  <w:style w:type="paragraph" w:styleId="Nivel01Titulo" w:customStyle="1">
    <w:name w:val="Nivel_01_Titulo"/>
    <w:basedOn w:val="Nivel01"/>
    <w:qFormat/>
    <w:pPr>
      <w:jc w:val="left"/>
    </w:pPr>
    <w:rPr>
      <w:rFonts w:cs="Arial" w:cstheme="majorBidi"/>
      <w:color w:val="000000" w:themeColor="text1"/>
      <w:spacing w:val="5"/>
      <w:sz w:val="52"/>
      <w:szCs w:val="52"/>
    </w:rPr>
  </w:style>
  <w:style w:type="paragraph" w:styleId="Ttulododocumento">
    <w:name w:val="Title"/>
    <w:basedOn w:val="Normal"/>
    <w:qFormat/>
    <w:pPr>
      <w:pBdr>
        <w:bottom w:val="single" w:sz="8" w:space="4" w:color="4F81BD"/>
      </w:pBdr>
      <w:spacing w:before="0" w:after="300"/>
      <w:contextualSpacing/>
    </w:pPr>
    <w:rPr>
      <w:rFonts w:ascii="Calibri" w:hAnsi="Calibri" w:eastAsia="Arial" w:cs="Arial" w:asciiTheme="majorHAnsi" w:cstheme="majorBidi" w:eastAsiaTheme="majorEastAsia" w:hAnsiTheme="majorHAnsi"/>
      <w:color w:val="17365D" w:themeColor="text2" w:themeShade="bf"/>
      <w:spacing w:val="5"/>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Autospacing="1" w:afterAutospacing="1"/>
    </w:pPr>
    <w:rPr>
      <w:rFonts w:ascii="Times New Roman" w:hAnsi="Times New Roman" w:eastAsia="Times New Roman" w:cs="Times New Roman"/>
    </w:rPr>
  </w:style>
  <w:style w:type="paragraph" w:styleId="Nivel1" w:customStyle="1">
    <w:name w:val="Nivel1"/>
    <w:basedOn w:val="Ttulo1"/>
    <w:qFormat/>
    <w:pPr>
      <w:spacing w:lineRule="auto" w:line="276"/>
      <w:ind w:left="357" w:hanging="357"/>
      <w:jc w:val="both"/>
    </w:pPr>
    <w:rPr>
      <w:rFonts w:ascii="Arial" w:hAnsi="Arial" w:cs="Arial"/>
      <w:bCs w:val="false"/>
      <w:color w:val="000000" w:themeColor="accent1" w:themeShade="bf"/>
    </w:rPr>
  </w:style>
  <w:style w:type="paragraph" w:styleId="PargrafodaLista1" w:customStyle="1">
    <w:name w:val="Parágrafo da Lista1"/>
    <w:basedOn w:val="Normal"/>
    <w:qFormat/>
    <w:pPr>
      <w:ind w:left="720" w:hanging="0"/>
    </w:pPr>
    <w:rPr>
      <w:rFonts w:eastAsia="Times New Roman" w:cs="Ecofont_Spranq_eco_Sans"/>
    </w:rPr>
  </w:style>
  <w:style w:type="paragraph" w:styleId="Nivel2" w:customStyle="1">
    <w:name w:val="Nivel 2"/>
    <w:basedOn w:val="Normal"/>
    <w:qFormat/>
    <w:pPr>
      <w:numPr>
        <w:ilvl w:val="1"/>
        <w:numId w:val="1"/>
      </w:numPr>
      <w:spacing w:lineRule="auto" w:line="276" w:before="120" w:after="120"/>
      <w:jc w:val="both"/>
    </w:pPr>
    <w:rPr>
      <w:rFonts w:ascii="Arial" w:hAnsi="Arial" w:cs="Arial"/>
      <w:color w:val="000000"/>
      <w:sz w:val="20"/>
      <w:szCs w:val="20"/>
    </w:rPr>
  </w:style>
  <w:style w:type="paragraph" w:styleId="Nivel11" w:customStyle="1">
    <w:name w:val="Nivel 1"/>
    <w:basedOn w:val="Nivel2"/>
    <w:qFormat/>
    <w:pPr>
      <w:numPr>
        <w:ilvl w:val="0"/>
        <w:numId w:val="0"/>
      </w:numPr>
      <w:ind w:left="360" w:hanging="360"/>
    </w:pPr>
    <w:rPr>
      <w:b/>
    </w:rPr>
  </w:style>
  <w:style w:type="paragraph" w:styleId="Nivel3" w:customStyle="1">
    <w:name w:val="Nivel 3"/>
    <w:basedOn w:val="Normal"/>
    <w:qFormat/>
    <w:pPr>
      <w:numPr>
        <w:ilvl w:val="2"/>
        <w:numId w:val="1"/>
      </w:numPr>
      <w:spacing w:lineRule="auto" w:line="276" w:before="120" w:after="120"/>
      <w:ind w:left="425" w:hanging="0"/>
      <w:jc w:val="both"/>
    </w:pPr>
    <w:rPr>
      <w:rFonts w:ascii="Arial" w:hAnsi="Arial" w:cs="Arial"/>
      <w:color w:val="000000"/>
      <w:sz w:val="20"/>
      <w:szCs w:val="20"/>
    </w:rPr>
  </w:style>
  <w:style w:type="paragraph" w:styleId="Nivel4" w:customStyle="1">
    <w:name w:val="Nivel 4"/>
    <w:basedOn w:val="Nivel3"/>
    <w:qFormat/>
    <w:pPr>
      <w:ind w:left="851" w:hanging="0"/>
    </w:pPr>
    <w:rPr>
      <w:color w:val="auto"/>
    </w:rPr>
  </w:style>
  <w:style w:type="paragraph" w:styleId="Nivel5" w:customStyle="1">
    <w:name w:val="Nivel 5"/>
    <w:basedOn w:val="Nivel4"/>
    <w:qFormat/>
    <w:pPr>
      <w:ind w:left="1276" w:hanging="0"/>
    </w:pPr>
    <w:rPr/>
  </w:style>
  <w:style w:type="paragraph" w:styleId="Textbody" w:customStyle="1">
    <w:name w:val="textbody"/>
    <w:basedOn w:val="Normal"/>
    <w:qFormat/>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uiPriority w:val="29"/>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pPr>
      <w:ind w:firstLine="1134"/>
      <w:jc w:val="both"/>
    </w:pPr>
    <w:rPr>
      <w:rFonts w:ascii="Times New Roman" w:hAnsi="Times New Roman" w:eastAsia="Times New Roman" w:cs="Times New Roman"/>
      <w:szCs w:val="22"/>
      <w:lang w:eastAsia="en-US"/>
    </w:rPr>
  </w:style>
  <w:style w:type="paragraph" w:styleId="Normal1" w:customStyle="1">
    <w:name w:val="Normal_1"/>
    <w:qFormat/>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pPr>
      <w:spacing w:beforeAutospacing="1" w:afterAutospacing="1"/>
    </w:pPr>
    <w:rPr>
      <w:rFonts w:ascii="Times New Roman" w:hAnsi="Times New Roman" w:eastAsia="Times New Roman" w:cs="Times New Roman"/>
    </w:rPr>
  </w:style>
  <w:style w:type="paragraph" w:styleId="Nvel2Opcional" w:customStyle="1">
    <w:name w:val="Nível 2 Opcional"/>
    <w:basedOn w:val="Nivel2"/>
    <w:qFormat/>
    <w:pPr>
      <w:numPr>
        <w:ilvl w:val="0"/>
        <w:numId w:val="0"/>
      </w:numPr>
      <w:ind w:left="432" w:hanging="432"/>
    </w:pPr>
    <w:rPr>
      <w:rFonts w:eastAsia="Times New Roman"/>
      <w:i/>
      <w:color w:val="FF0000"/>
    </w:rPr>
  </w:style>
  <w:style w:type="paragraph" w:styleId="Nvel3Opcional" w:customStyle="1">
    <w:name w:val="Nível 3 Opcional"/>
    <w:basedOn w:val="Nivel3"/>
    <w:qFormat/>
    <w:pPr>
      <w:numPr>
        <w:ilvl w:val="0"/>
        <w:numId w:val="0"/>
      </w:numPr>
      <w:ind w:left="1072" w:hanging="504"/>
    </w:pPr>
    <w:rPr>
      <w:rFonts w:eastAsia="Times New Roman"/>
      <w:i/>
      <w:iCs/>
      <w:color w:val="FF0000"/>
    </w:rPr>
  </w:style>
  <w:style w:type="paragraph" w:styleId="SombreamentoMdio1nfase31" w:customStyle="1">
    <w:name w:val="Sombreamento Médio 1 - Ênfase 31"/>
    <w:basedOn w:val="Normal"/>
    <w:qFormat/>
    <w:pPr>
      <w:pBdr>
        <w:top w:val="single" w:sz="4" w:space="1" w:color="000080"/>
        <w:left w:val="single" w:sz="4" w:space="4" w:color="000080"/>
        <w:bottom w:val="single" w:sz="4" w:space="1" w:color="000080"/>
        <w:right w:val="single" w:sz="4" w:space="4" w:color="000080"/>
      </w:pBdr>
      <w:shd w:val="clear" w:color="auto" w:fill="FFFFCC"/>
      <w:spacing w:before="120" w:after="0"/>
      <w:jc w:val="both"/>
    </w:pPr>
    <w:rPr>
      <w:rFonts w:eastAsia="Calibri"/>
      <w:i/>
      <w:iCs/>
      <w:color w:val="000000"/>
      <w:sz w:val="20"/>
      <w:lang w:eastAsia="zh-CN"/>
    </w:rPr>
  </w:style>
  <w:style w:type="paragraph" w:styleId="Corpo" w:customStyle="1">
    <w:name w:val="corpo"/>
    <w:basedOn w:val="Normal"/>
    <w:qFormat/>
    <w:pPr>
      <w:spacing w:beforeAutospacing="1" w:afterAutospacing="1"/>
    </w:pPr>
    <w:rPr>
      <w:rFonts w:ascii="Times New Roman" w:hAnsi="Times New Roman" w:eastAsia="Times New Roman" w:cs="Times New Roman"/>
    </w:rPr>
  </w:style>
  <w:style w:type="paragraph" w:styleId="Itemnivel2" w:customStyle="1">
    <w:name w:val="item_nivel2"/>
    <w:basedOn w:val="Normal"/>
    <w:qFormat/>
    <w:pPr>
      <w:spacing w:beforeAutospacing="1" w:afterAutospacing="1"/>
    </w:pPr>
    <w:rPr>
      <w:rFonts w:ascii="Times New Roman" w:hAnsi="Times New Roman" w:eastAsia="Times New Roman" w:cs="Times New Roman"/>
    </w:rPr>
  </w:style>
  <w:style w:type="paragraph" w:styleId="Itemnivel1" w:customStyle="1">
    <w:name w:val="item_nivel1"/>
    <w:basedOn w:val="Normal"/>
    <w:qFormat/>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pPr>
      <w:spacing w:beforeAutospacing="1" w:afterAutospacing="1"/>
    </w:pPr>
    <w:rPr>
      <w:rFonts w:ascii="Times New Roman" w:hAnsi="Times New Roman" w:eastAsia="Times New Roman" w:cs="Times New Roman"/>
    </w:rPr>
  </w:style>
  <w:style w:type="paragraph" w:styleId="Standard" w:customStyle="1">
    <w:name w:val="Standard"/>
    <w:qFormat/>
    <w:pPr>
      <w:widowControl/>
      <w:suppressAutoHyphens w:val="true"/>
      <w:bidi w:val="0"/>
      <w:spacing w:before="0" w:after="0"/>
      <w:jc w:val="left"/>
    </w:pPr>
    <w:rPr>
      <w:rFonts w:ascii="Liberation Serif" w:hAnsi="Liberation Serif" w:eastAsia="NSimSun" w:cs="Lucida Sans"/>
      <w:color w:val="auto"/>
      <w:kern w:val="0"/>
      <w:sz w:val="24"/>
      <w:szCs w:val="24"/>
      <w:lang w:val="pt-BR" w:eastAsia="zh-CN" w:bidi="hi-IN"/>
    </w:rPr>
  </w:style>
  <w:style w:type="paragraph" w:styleId="Textbody1" w:customStyle="1">
    <w:name w:val="Text body"/>
    <w:basedOn w:val="Standard"/>
    <w:qFormat/>
    <w:pPr>
      <w:spacing w:lineRule="auto" w:line="276" w:before="0" w:after="140"/>
    </w:pPr>
    <w:rPr/>
  </w:style>
  <w:style w:type="paragraph" w:styleId="Ou" w:customStyle="1">
    <w:name w:val="ou"/>
    <w:basedOn w:val="ListParagraph"/>
    <w:qFormat/>
    <w:pPr>
      <w:spacing w:lineRule="auto" w:line="259" w:before="60" w:after="60"/>
      <w:ind w:left="0" w:hanging="0"/>
      <w:contextualSpacing w:val="false"/>
      <w:jc w:val="center"/>
    </w:pPr>
    <w:rPr>
      <w:rFonts w:ascii="Arial" w:hAnsi="Arial" w:eastAsia="Cambria" w:cs="Arial" w:eastAsiaTheme="minorHAnsi"/>
      <w:b/>
      <w:bCs/>
      <w:i/>
      <w:iCs/>
      <w:color w:val="FF0000"/>
      <w:u w:val="single"/>
    </w:rPr>
  </w:style>
  <w:style w:type="paragraph" w:styleId="Douparagraph" w:customStyle="1">
    <w:name w:val="dou-paragraph"/>
    <w:basedOn w:val="Normal"/>
    <w:qFormat/>
    <w:pPr>
      <w:spacing w:beforeAutospacing="1" w:afterAutospacing="1"/>
    </w:pPr>
    <w:rPr>
      <w:rFonts w:ascii="Times New Roman" w:hAnsi="Times New Roman" w:eastAsia="Times New Roman" w:cs="Times New Roman"/>
    </w:rPr>
  </w:style>
  <w:style w:type="paragraph" w:styleId="Nvel2Red" w:customStyle="1">
    <w:name w:val="Nível 2 -Red"/>
    <w:basedOn w:val="Nivel2"/>
    <w:qFormat/>
    <w:pPr/>
    <w:rPr>
      <w:i/>
      <w:iCs/>
      <w:color w:val="FF0000"/>
    </w:rPr>
  </w:style>
  <w:style w:type="paragraph" w:styleId="Nvel3R" w:customStyle="1">
    <w:name w:val="Nível 3-R"/>
    <w:basedOn w:val="Nivel3"/>
    <w:qFormat/>
    <w:pPr/>
    <w:rPr>
      <w:i/>
      <w:iCs/>
      <w:color w:val="FF0000"/>
    </w:rPr>
  </w:style>
  <w:style w:type="paragraph" w:styleId="Nvel4R" w:customStyle="1">
    <w:name w:val="Nível 4-R"/>
    <w:basedOn w:val="Nivel4"/>
    <w:qFormat/>
    <w:pPr>
      <w:ind w:left="2491" w:hanging="648"/>
    </w:pPr>
    <w:rPr>
      <w:i/>
      <w:iCs/>
      <w:color w:val="FF0000"/>
    </w:rPr>
  </w:style>
  <w:style w:type="paragraph" w:styleId="Nvel1SemNum" w:customStyle="1">
    <w:name w:val="Nível 1-Sem Num"/>
    <w:basedOn w:val="Nivel01"/>
    <w:qFormat/>
    <w:pPr>
      <w:numPr>
        <w:ilvl w:val="0"/>
        <w:numId w:val="0"/>
      </w:numPr>
      <w:ind w:left="357" w:hanging="0"/>
      <w:outlineLvl w:val="1"/>
    </w:pPr>
    <w:rPr>
      <w:color w:val="FF0000" w:themeColor="accent1" w:themeShade="bf"/>
    </w:rPr>
  </w:style>
  <w:style w:type="paragraph" w:styleId="Citao2" w:customStyle="1">
    <w:name w:val="citação 2"/>
    <w:basedOn w:val="Quote"/>
    <w:qFormat/>
    <w:pPr/>
    <w:rPr>
      <w:szCs w:val="20"/>
    </w:rPr>
  </w:style>
  <w:style w:type="paragraph" w:styleId="Prembulo" w:customStyle="1">
    <w:name w:val="Preâmbulo"/>
    <w:basedOn w:val="Normal"/>
    <w:qFormat/>
    <w:pPr>
      <w:spacing w:lineRule="auto" w:line="360" w:before="480" w:after="120"/>
      <w:ind w:left="4253" w:right="-17" w:hanging="0"/>
      <w:jc w:val="both"/>
    </w:pPr>
    <w:rPr>
      <w:rFonts w:ascii="Arial" w:hAnsi="Arial" w:eastAsia="Arial" w:cs="Arial"/>
      <w:bCs/>
      <w:sz w:val="20"/>
      <w:szCs w:val="20"/>
    </w:rPr>
  </w:style>
  <w:style w:type="numbering" w:styleId="Semlista" w:default="1">
    <w:name w:val="Sem lista"/>
    <w:uiPriority w:val="99"/>
    <w:semiHidden/>
    <w:unhideWhenUsed/>
    <w:qFormat/>
  </w:style>
  <w:style w:type="numbering" w:styleId="Estilo1" w:customStyle="1">
    <w:name w:val="Estilo1"/>
    <w:uiPriority w:val="99"/>
    <w:qFormat/>
  </w:style>
  <w:style w:type="numbering" w:styleId="Estilo2" w:customStyle="1">
    <w:name w:val="Estilo2"/>
    <w:uiPriority w:val="99"/>
    <w:qFormat/>
  </w:style>
  <w:style w:type="numbering" w:styleId="Estilo3" w:customStyle="1">
    <w:name w:val="Estilo3"/>
    <w:uiPriority w:val="99"/>
    <w:qFormat/>
  </w:style>
  <w:style w:type="numbering" w:styleId="Estilo4" w:customStyle="1">
    <w:name w:val="Estilo4"/>
    <w:uiPriority w:val="99"/>
    <w:qFormat/>
  </w:style>
  <w:style w:type="numbering" w:styleId="Estilo5" w:customStyle="1">
    <w:name w:val="Estilo5"/>
    <w:uiPriority w:val="99"/>
    <w:qFormat/>
  </w:style>
  <w:style w:type="numbering" w:styleId="Estilo6" w:customStyle="1">
    <w:name w:val="Estilo6"/>
    <w:uiPriority w:val="99"/>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lanalto.gov.br/ccivil_03/_ato2019-2022/2021/lei/L14133.htm" TargetMode="External"/><Relationship Id="rId4" Type="http://schemas.openxmlformats.org/officeDocument/2006/relationships/hyperlink" Target="art92" TargetMode="External"/><Relationship Id="rId5" Type="http://schemas.openxmlformats.org/officeDocument/2006/relationships/hyperlink" Target="art105" TargetMode="External"/><Relationship Id="rId6" Type="http://schemas.openxmlformats.org/officeDocument/2006/relationships/hyperlink" Target="art92" TargetMode="External"/><Relationship Id="rId7" Type="http://schemas.openxmlformats.org/officeDocument/2006/relationships/hyperlink" Target="art92" TargetMode="External"/><Relationship Id="rId8" Type="http://schemas.openxmlformats.org/officeDocument/2006/relationships/hyperlink" Target="art92" TargetMode="External"/><Relationship Id="rId9" Type="http://schemas.openxmlformats.org/officeDocument/2006/relationships/hyperlink" Target="art92" TargetMode="External"/><Relationship Id="rId10" Type="http://schemas.openxmlformats.org/officeDocument/2006/relationships/hyperlink" Target="./art93&#167;2" TargetMode="External"/><Relationship Id="rId11" Type="http://schemas.openxmlformats.org/officeDocument/2006/relationships/hyperlink" Target="art92" TargetMode="External"/><Relationship Id="rId12" Type="http://schemas.openxmlformats.org/officeDocument/2006/relationships/hyperlink" Target="art137" TargetMode="External"/><Relationship Id="rId13" Type="http://schemas.openxmlformats.org/officeDocument/2006/relationships/hyperlink" Target="https://www.planalto.gov.br/ccivil_03/leis/l8078compilado.htm" TargetMode="External"/><Relationship Id="rId14" Type="http://schemas.openxmlformats.org/officeDocument/2006/relationships/hyperlink" Target="art48" TargetMode="External"/><Relationship Id="rId15" Type="http://schemas.openxmlformats.org/officeDocument/2006/relationships/hyperlink" Target="art116" TargetMode="External"/><Relationship Id="rId16" Type="http://schemas.openxmlformats.org/officeDocument/2006/relationships/hyperlink" Target="art116" TargetMode="External"/><Relationship Id="rId17" Type="http://schemas.openxmlformats.org/officeDocument/2006/relationships/hyperlink" Target="art124" TargetMode="External"/><Relationship Id="rId18" Type="http://schemas.openxmlformats.org/officeDocument/2006/relationships/hyperlink" Target="art92" TargetMode="External"/><Relationship Id="rId19" Type="http://schemas.openxmlformats.org/officeDocument/2006/relationships/hyperlink" Target="art92" TargetMode="External"/><Relationship Id="rId20" Type="http://schemas.openxmlformats.org/officeDocument/2006/relationships/hyperlink" Target="http://www.planalto.gov.br/ccivil_03/_ato2019-2022/2021/lei/L14133.htm" TargetMode="External"/><Relationship Id="rId21" Type="http://schemas.openxmlformats.org/officeDocument/2006/relationships/hyperlink" Target="./art156&#167;2" TargetMode="External"/><Relationship Id="rId22" Type="http://schemas.openxmlformats.org/officeDocument/2006/relationships/hyperlink" Target="./art156&#167;4" TargetMode="External"/><Relationship Id="rId23" Type="http://schemas.openxmlformats.org/officeDocument/2006/relationships/hyperlink" Target="./art156&#167;5" TargetMode="External"/><Relationship Id="rId24" Type="http://schemas.openxmlformats.org/officeDocument/2006/relationships/hyperlink" Target="./art156&#167;9" TargetMode="External"/><Relationship Id="rId25" Type="http://schemas.openxmlformats.org/officeDocument/2006/relationships/hyperlink" Target="./art156&#167;7" TargetMode="External"/><Relationship Id="rId26" Type="http://schemas.openxmlformats.org/officeDocument/2006/relationships/hyperlink" Target="art157" TargetMode="External"/><Relationship Id="rId27" Type="http://schemas.openxmlformats.org/officeDocument/2006/relationships/hyperlink" Target="./art156&#167;8" TargetMode="External"/><Relationship Id="rId28" Type="http://schemas.openxmlformats.org/officeDocument/2006/relationships/hyperlink" Target="art158" TargetMode="External"/><Relationship Id="rId29" Type="http://schemas.openxmlformats.org/officeDocument/2006/relationships/hyperlink" Target="./art156&#167;1" TargetMode="External"/><Relationship Id="rId30"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1-2014/2013/lei/l12846.htm" TargetMode="External"/><Relationship Id="rId32" Type="http://schemas.openxmlformats.org/officeDocument/2006/relationships/hyperlink" Target="art159" TargetMode="External"/><Relationship Id="rId33" Type="http://schemas.openxmlformats.org/officeDocument/2006/relationships/hyperlink" Target="art160" TargetMode="External"/><Relationship Id="rId34" Type="http://schemas.openxmlformats.org/officeDocument/2006/relationships/hyperlink" Target="art161" TargetMode="External"/><Relationship Id="rId35" Type="http://schemas.openxmlformats.org/officeDocument/2006/relationships/hyperlink" Target="art163" TargetMode="External"/><Relationship Id="rId36" Type="http://schemas.openxmlformats.org/officeDocument/2006/relationships/hyperlink" Target="https://www.gov.br/compras/pt-br/acesso-a-informacao/legislacao/instrucoes-normativas/instrucao-normativa-seges-me-no-26-de-13-de-abril-de-2022" TargetMode="External"/><Relationship Id="rId37" Type="http://schemas.openxmlformats.org/officeDocument/2006/relationships/hyperlink" Target="art92" TargetMode="External"/><Relationship Id="rId38" Type="http://schemas.openxmlformats.org/officeDocument/2006/relationships/hyperlink" Target="art137" TargetMode="External"/><Relationship Id="rId39" Type="http://schemas.openxmlformats.org/officeDocument/2006/relationships/hyperlink" Target="art138" TargetMode="External"/><Relationship Id="rId40" Type="http://schemas.openxmlformats.org/officeDocument/2006/relationships/hyperlink" Target="art131" TargetMode="External"/><Relationship Id="rId41" Type="http://schemas.openxmlformats.org/officeDocument/2006/relationships/hyperlink" Target="art92" TargetMode="External"/><Relationship Id="rId42" Type="http://schemas.openxmlformats.org/officeDocument/2006/relationships/hyperlink" Target="art92" TargetMode="External"/><Relationship Id="rId43"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leis/l8078compilado.htm" TargetMode="External"/><Relationship Id="rId45" Type="http://schemas.openxmlformats.org/officeDocument/2006/relationships/hyperlink" Target="art124" TargetMode="External"/><Relationship Id="rId46" Type="http://schemas.openxmlformats.org/officeDocument/2006/relationships/hyperlink" Target="art136" TargetMode="External"/><Relationship Id="rId47" Type="http://schemas.openxmlformats.org/officeDocument/2006/relationships/hyperlink" Target="art94" TargetMode="External"/><Relationship Id="rId48" Type="http://schemas.openxmlformats.org/officeDocument/2006/relationships/hyperlink" Target="./art8&#167;2" TargetMode="External"/><Relationship Id="rId49" Type="http://schemas.openxmlformats.org/officeDocument/2006/relationships/hyperlink" Target="./art7&#167;3" TargetMode="External"/><Relationship Id="rId50" Type="http://schemas.openxmlformats.org/officeDocument/2006/relationships/hyperlink" Target="./art92&#167;1" TargetMode="External"/><Relationship Id="rId51" Type="http://schemas.openxmlformats.org/officeDocument/2006/relationships/hyperlink" Target="./art92&#167;1" TargetMode="External"/><Relationship Id="rId52" Type="http://schemas.openxmlformats.org/officeDocument/2006/relationships/header" Target="header1.xml"/><Relationship Id="rId53" Type="http://schemas.openxmlformats.org/officeDocument/2006/relationships/header" Target="header2.xml"/><Relationship Id="rId54" Type="http://schemas.openxmlformats.org/officeDocument/2006/relationships/header" Target="header3.xml"/><Relationship Id="rId55" Type="http://schemas.openxmlformats.org/officeDocument/2006/relationships/footer" Target="footer1.xml"/><Relationship Id="rId56" Type="http://schemas.openxmlformats.org/officeDocument/2006/relationships/footer" Target="footer2.xml"/><Relationship Id="rId57" Type="http://schemas.openxmlformats.org/officeDocument/2006/relationships/footer" Target="footer3.xml"/><Relationship Id="rId58" Type="http://schemas.openxmlformats.org/officeDocument/2006/relationships/numbering" Target="numbering.xml"/><Relationship Id="rId59" Type="http://schemas.openxmlformats.org/officeDocument/2006/relationships/fontTable" Target="fontTable.xml"/><Relationship Id="rId60" Type="http://schemas.openxmlformats.org/officeDocument/2006/relationships/settings" Target="settings.xml"/><Relationship Id="rId61" Type="http://schemas.openxmlformats.org/officeDocument/2006/relationships/theme" Target="theme/theme1.xml"/><Relationship Id="rId62" Type="http://schemas.openxmlformats.org/officeDocument/2006/relationships/customXml" Target="../customXml/item1.xml"/><Relationship Id="rId63" Type="http://schemas.openxmlformats.org/officeDocument/2006/relationships/customXml" Target="../customXml/item2.xml"/><Relationship Id="rId64" Type="http://schemas.openxmlformats.org/officeDocument/2006/relationships/customXml" Target="../customXml/item3.xml"/><Relationship Id="rId65"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Arial" pitchFamily="0" charset="1"/>
        <a:cs typeface="Arial" pitchFamily="0" charset="1"/>
      </a:majorFont>
      <a:minorFont>
        <a:latin typeface="Cambria" pitchFamily="0" charset="1"/>
        <a:ea typeface="Arial" pitchFamily="0" charset="1"/>
        <a:cs typeface="Arial" pitchFamily="0" charset="1"/>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0" t="0" r="0" b="0"/>
          </a:path>
          <a:tileRect l="0" t="0" r="0" b="0"/>
        </a:gradFill>
        <a:gradFill>
          <a:gsLst>
            <a:gs pos="0">
              <a:schemeClr val="phClr">
                <a:tint val="80000"/>
              </a:schemeClr>
            </a:gs>
            <a:gs pos="100000">
              <a:schemeClr val="phClr">
                <a:shade val="30000"/>
              </a:schemeClr>
            </a:gs>
          </a:gsLst>
          <a:path path="circle">
            <a:fillToRect l="0" t="0" r="0" b="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0721B5-2FFD-4B32-891F-8DD51FBA0B54}">
  <ds:schemaRefs>
    <ds:schemaRef ds:uri="http://schemas.openxmlformats.org/officeDocument/2006/bibliography"/>
  </ds:schemaRefs>
</ds:datastoreItem>
</file>

<file path=customXml/itemProps2.xml><?xml version="1.0" encoding="utf-8"?>
<ds:datastoreItem xmlns:ds="http://schemas.openxmlformats.org/officeDocument/2006/customXml" ds:itemID="{0CBD3A4D-46FC-4C9D-A646-0B0B22B0418A}">
  <ds:schemaRefs>
    <ds:schemaRef ds:uri="http://purl.org/dc/dcmitype/"/>
    <ds:schemaRef ds:uri="http://purl.org/dc/terms/"/>
    <ds:schemaRef ds:uri="http://schemas.microsoft.com/office/infopath/2007/PartnerControls"/>
    <ds:schemaRef ds:uri="feb27506-d0cb-4764-903f-1304ed79efc7"/>
    <ds:schemaRef ds:uri="http://schemas.microsoft.com/office/2006/documentManagement/types"/>
    <ds:schemaRef ds:uri="http://schemas.openxmlformats.org/package/2006/metadata/core-properties"/>
    <ds:schemaRef ds:uri="http://purl.org/dc/elements/1.1/"/>
    <ds:schemaRef ds:uri="8ce77f6a-f1fb-45c7-a4e1-13af6ce189a7"/>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EA320E67-7F18-415B-885F-D6F25ACD3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8E4159-1A97-4F80-B42C-7F8E31508B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Application>LibreOffice/7.3.3.2$Windows_X86_64 LibreOffice_project/d1d0ea68f081ee2800a922cac8f79445e4603348</Application>
  <AppVersion>15.0000</AppVersion>
  <Pages>12</Pages>
  <Words>3702</Words>
  <Characters>20763</Characters>
  <CharactersWithSpaces>24203</CharactersWithSpaces>
  <Paragraphs>180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2022-12-21T15:49:00Z</dcterms:created>
  <dc:creator/>
  <dc:description/>
  <dc:language>pt-BR</dc:language>
  <cp:lastModifiedBy/>
  <dcterms:modified xsi:type="dcterms:W3CDTF">2025-03-11T10:49:25Z</dcterms:modified>
  <cp:revision>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